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8746" w14:textId="77777777" w:rsidR="009047C2" w:rsidRPr="00F5104B" w:rsidRDefault="00314061" w:rsidP="00314061">
      <w:pPr>
        <w:jc w:val="center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14"/>
        <w:gridCol w:w="6614"/>
      </w:tblGrid>
      <w:tr w:rsidR="00314061" w:rsidRPr="00F5104B" w14:paraId="446DDB75" w14:textId="77777777" w:rsidTr="00543897">
        <w:trPr>
          <w:jc w:val="center"/>
        </w:trPr>
        <w:tc>
          <w:tcPr>
            <w:tcW w:w="5000" w:type="pct"/>
            <w:gridSpan w:val="2"/>
          </w:tcPr>
          <w:p w14:paraId="70172EDE" w14:textId="2B5116A5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ИНФОРМАЦИЯ О ПОЗИЦИИ</w:t>
            </w:r>
          </w:p>
        </w:tc>
      </w:tr>
      <w:tr w:rsidR="00EE7674" w:rsidRPr="00F5104B" w14:paraId="2C142CE6" w14:textId="77777777" w:rsidTr="00543897">
        <w:trPr>
          <w:jc w:val="center"/>
        </w:trPr>
        <w:tc>
          <w:tcPr>
            <w:tcW w:w="1565" w:type="pct"/>
          </w:tcPr>
          <w:p w14:paraId="4588E50E" w14:textId="77777777" w:rsidR="00EE7674" w:rsidRPr="00F5104B" w:rsidRDefault="00EE7674" w:rsidP="00EE7674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3435" w:type="pct"/>
          </w:tcPr>
          <w:p w14:paraId="2FC823DA" w14:textId="01E8DECE" w:rsidR="00EE7674" w:rsidRPr="006E3956" w:rsidRDefault="00EE7674" w:rsidP="00EE7674">
            <w:pPr>
              <w:jc w:val="both"/>
              <w:rPr>
                <w:rFonts w:asciiTheme="majorHAnsi" w:hAnsiTheme="majorHAnsi" w:cstheme="majorHAnsi"/>
                <w:noProof/>
                <w:color w:val="FF0000"/>
              </w:rPr>
            </w:pPr>
            <w:r w:rsidRPr="00204246">
              <w:rPr>
                <w:rFonts w:asciiTheme="majorHAnsi" w:hAnsiTheme="majorHAnsi" w:cstheme="majorHAnsi"/>
                <w:noProof/>
              </w:rPr>
              <w:t xml:space="preserve">Национальный эксперт </w:t>
            </w:r>
            <w:r w:rsidR="00222159" w:rsidRPr="00204246">
              <w:rPr>
                <w:rFonts w:asciiTheme="majorHAnsi" w:hAnsiTheme="majorHAnsi" w:cstheme="majorHAnsi"/>
                <w:noProof/>
              </w:rPr>
              <w:t xml:space="preserve">по </w:t>
            </w:r>
            <w:r w:rsidR="00FE29ED">
              <w:rPr>
                <w:rFonts w:asciiTheme="majorHAnsi" w:hAnsiTheme="majorHAnsi" w:cstheme="majorHAnsi"/>
                <w:noProof/>
              </w:rPr>
              <w:t>сбору</w:t>
            </w:r>
            <w:r w:rsidR="00222159" w:rsidRPr="00204246">
              <w:rPr>
                <w:rFonts w:asciiTheme="majorHAnsi" w:hAnsiTheme="majorHAnsi" w:cstheme="majorHAnsi"/>
                <w:noProof/>
              </w:rPr>
              <w:t xml:space="preserve"> базы данных </w:t>
            </w:r>
          </w:p>
        </w:tc>
      </w:tr>
      <w:tr w:rsidR="00314061" w:rsidRPr="00F5104B" w14:paraId="4EAD26D1" w14:textId="77777777" w:rsidTr="00543897">
        <w:trPr>
          <w:jc w:val="center"/>
        </w:trPr>
        <w:tc>
          <w:tcPr>
            <w:tcW w:w="1565" w:type="pct"/>
          </w:tcPr>
          <w:p w14:paraId="1D0B5111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3435" w:type="pct"/>
          </w:tcPr>
          <w:p w14:paraId="5631C706" w14:textId="4409ED35" w:rsidR="00314061" w:rsidRPr="00F5104B" w:rsidRDefault="00314061" w:rsidP="00A06DB2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Проект ПРООН/ГЭФ </w:t>
            </w:r>
            <w:r w:rsidR="00A36D77" w:rsidRPr="00F5104B">
              <w:rPr>
                <w:rFonts w:asciiTheme="majorHAnsi" w:hAnsiTheme="majorHAnsi" w:cstheme="majorHAnsi"/>
                <w:noProof/>
              </w:rPr>
              <w:t>«</w:t>
            </w:r>
            <w:r w:rsidR="00204246"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="00A36D77" w:rsidRPr="00F5104B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314061" w:rsidRPr="00F5104B" w14:paraId="28E195ED" w14:textId="77777777" w:rsidTr="00543897">
        <w:trPr>
          <w:jc w:val="center"/>
        </w:trPr>
        <w:tc>
          <w:tcPr>
            <w:tcW w:w="1565" w:type="pct"/>
          </w:tcPr>
          <w:p w14:paraId="63B70082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3435" w:type="pct"/>
          </w:tcPr>
          <w:p w14:paraId="02B58FC7" w14:textId="77777777" w:rsidR="00882F2B" w:rsidRPr="00193CEF" w:rsidRDefault="00882F2B" w:rsidP="00882F2B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E9B5A3B" w14:textId="0A598057" w:rsidR="00685013" w:rsidRPr="00F5104B" w:rsidRDefault="00882F2B" w:rsidP="00882F2B">
            <w:pPr>
              <w:jc w:val="both"/>
              <w:rPr>
                <w:rFonts w:asciiTheme="majorHAnsi" w:hAnsiTheme="majorHAnsi" w:cstheme="majorHAnsi"/>
                <w:noProof/>
                <w:color w:val="FF0000"/>
                <w:highlight w:val="yellow"/>
              </w:rPr>
            </w:pPr>
            <w:r w:rsidRPr="00B07AE6">
              <w:rPr>
                <w:rFonts w:ascii="Calibri Light" w:hAnsi="Calibri Light" w:cs="Calibri Light"/>
                <w:b/>
              </w:rPr>
              <w:t>Результат 2.2: Эффективность управления 7 юридически признанными ООПТ возрастет за счет инвестиций в улучшение участия и выгод сообщества, мониторинга и обеспечения соблюдения законодательства.</w:t>
            </w:r>
          </w:p>
        </w:tc>
      </w:tr>
      <w:tr w:rsidR="00314061" w:rsidRPr="00F5104B" w14:paraId="769F0F13" w14:textId="77777777" w:rsidTr="00543897">
        <w:trPr>
          <w:jc w:val="center"/>
        </w:trPr>
        <w:tc>
          <w:tcPr>
            <w:tcW w:w="1565" w:type="pct"/>
          </w:tcPr>
          <w:p w14:paraId="71416EC0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3435" w:type="pct"/>
          </w:tcPr>
          <w:p w14:paraId="7642AACA" w14:textId="301CBBA2" w:rsidR="00314061" w:rsidRPr="00F5104B" w:rsidRDefault="004A3C0D" w:rsidP="0031406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</w:rPr>
              <w:t xml:space="preserve">Менеджер и координатор </w:t>
            </w:r>
            <w:r w:rsidR="00A36D77" w:rsidRPr="00F5104B">
              <w:rPr>
                <w:rFonts w:asciiTheme="majorHAnsi" w:hAnsiTheme="majorHAnsi" w:cstheme="majorHAnsi"/>
              </w:rPr>
              <w:t>проекта</w:t>
            </w:r>
          </w:p>
        </w:tc>
      </w:tr>
      <w:tr w:rsidR="00314061" w:rsidRPr="00F5104B" w14:paraId="65F02F91" w14:textId="77777777" w:rsidTr="00543897">
        <w:trPr>
          <w:jc w:val="center"/>
        </w:trPr>
        <w:tc>
          <w:tcPr>
            <w:tcW w:w="1565" w:type="pct"/>
          </w:tcPr>
          <w:p w14:paraId="4F124A4E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3435" w:type="pct"/>
          </w:tcPr>
          <w:p w14:paraId="0BB97CAA" w14:textId="7078281D" w:rsidR="00314061" w:rsidRPr="00315359" w:rsidRDefault="00383038" w:rsidP="00D8085E">
            <w:pPr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F72FB2">
              <w:rPr>
                <w:rFonts w:asciiTheme="majorHAnsi" w:hAnsiTheme="majorHAnsi" w:cstheme="majorHAnsi"/>
                <w:noProof/>
              </w:rPr>
              <w:t>8</w:t>
            </w:r>
            <w:r w:rsidR="00D8085E" w:rsidRPr="00F72FB2">
              <w:rPr>
                <w:rFonts w:asciiTheme="majorHAnsi" w:hAnsiTheme="majorHAnsi" w:cstheme="majorHAnsi"/>
                <w:noProof/>
              </w:rPr>
              <w:t xml:space="preserve"> </w:t>
            </w:r>
            <w:r w:rsidR="00314061" w:rsidRPr="00F72FB2">
              <w:rPr>
                <w:rFonts w:asciiTheme="majorHAnsi" w:hAnsiTheme="majorHAnsi" w:cstheme="majorHAnsi"/>
                <w:noProof/>
              </w:rPr>
              <w:t>месяц</w:t>
            </w:r>
            <w:r w:rsidR="00315359">
              <w:rPr>
                <w:rFonts w:asciiTheme="majorHAnsi" w:hAnsiTheme="majorHAnsi" w:cstheme="majorHAnsi"/>
                <w:noProof/>
              </w:rPr>
              <w:t>ев</w:t>
            </w:r>
          </w:p>
        </w:tc>
      </w:tr>
      <w:tr w:rsidR="00314061" w:rsidRPr="00F5104B" w14:paraId="5394CF9D" w14:textId="77777777" w:rsidTr="00543897">
        <w:trPr>
          <w:jc w:val="center"/>
        </w:trPr>
        <w:tc>
          <w:tcPr>
            <w:tcW w:w="1565" w:type="pct"/>
          </w:tcPr>
          <w:p w14:paraId="4A5DB527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3435" w:type="pct"/>
          </w:tcPr>
          <w:p w14:paraId="07FB6D17" w14:textId="77777777" w:rsidR="00314061" w:rsidRPr="00F5104B" w:rsidRDefault="00314061" w:rsidP="00F3650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Оплата производится </w:t>
            </w:r>
            <w:r w:rsidR="00C3401F" w:rsidRPr="00F5104B">
              <w:rPr>
                <w:rFonts w:asciiTheme="majorHAnsi" w:hAnsiTheme="majorHAnsi" w:cstheme="majorHAnsi"/>
                <w:noProof/>
              </w:rPr>
              <w:t>после предоставления отчетов и подписания акта выполненных работ</w:t>
            </w:r>
          </w:p>
        </w:tc>
      </w:tr>
      <w:tr w:rsidR="00314061" w:rsidRPr="00F5104B" w14:paraId="55808B2E" w14:textId="77777777" w:rsidTr="00543897">
        <w:trPr>
          <w:jc w:val="center"/>
        </w:trPr>
        <w:tc>
          <w:tcPr>
            <w:tcW w:w="1565" w:type="pct"/>
          </w:tcPr>
          <w:p w14:paraId="0EEDA616" w14:textId="77777777" w:rsidR="00314061" w:rsidRPr="00F5104B" w:rsidRDefault="00314061" w:rsidP="00314061">
            <w:pPr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3435" w:type="pct"/>
          </w:tcPr>
          <w:p w14:paraId="21547F77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993424">
              <w:rPr>
                <w:rFonts w:ascii="Calibri Light" w:hAnsi="Calibri Light" w:cs="Calibri Light"/>
              </w:rPr>
              <w:t>г. Душанбе с выездом в проектные территории</w:t>
            </w:r>
            <w:r w:rsidRPr="00193CEF">
              <w:rPr>
                <w:rFonts w:ascii="Calibri Light" w:hAnsi="Calibri Light" w:cs="Calibri Light"/>
              </w:rPr>
              <w:t xml:space="preserve"> </w:t>
            </w:r>
            <w:r w:rsidRPr="00EE1402">
              <w:rPr>
                <w:rFonts w:ascii="Calibri Light" w:hAnsi="Calibri Light" w:cs="Calibri Light"/>
              </w:rPr>
              <w:t xml:space="preserve">(7 ООПТ национального уровня площадью 157 671 га. </w:t>
            </w:r>
          </w:p>
          <w:p w14:paraId="41AAB91E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1.</w:t>
            </w:r>
            <w:r w:rsidRPr="00EE1402">
              <w:rPr>
                <w:rFonts w:ascii="Calibri Light" w:hAnsi="Calibri Light" w:cs="Calibri Light"/>
              </w:rPr>
              <w:tab/>
            </w:r>
            <w:proofErr w:type="spellStart"/>
            <w:r w:rsidRPr="00EE1402">
              <w:rPr>
                <w:rFonts w:ascii="Calibri Light" w:hAnsi="Calibri Light" w:cs="Calibri Light"/>
              </w:rPr>
              <w:t>Даштиджумский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государственный природный заповедник</w:t>
            </w:r>
          </w:p>
          <w:p w14:paraId="4D8C9947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2.</w:t>
            </w:r>
            <w:r w:rsidRPr="00EE1402">
              <w:rPr>
                <w:rFonts w:ascii="Calibri Light" w:hAnsi="Calibri Light" w:cs="Calibri Light"/>
              </w:rPr>
              <w:tab/>
              <w:t>Природный заказник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Дашти</w:t>
            </w:r>
            <w:proofErr w:type="spellEnd"/>
            <w:r w:rsidRPr="00EE140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E1402">
              <w:rPr>
                <w:rFonts w:ascii="Calibri Light" w:hAnsi="Calibri Light" w:cs="Calibri Light"/>
              </w:rPr>
              <w:t>Джум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25E1096B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3.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“</w:t>
            </w:r>
            <w:proofErr w:type="spellStart"/>
            <w:r w:rsidRPr="00EE1402">
              <w:rPr>
                <w:rFonts w:ascii="Calibri Light" w:hAnsi="Calibri Light" w:cs="Calibri Light"/>
              </w:rPr>
              <w:t>Чильдухтарон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533126E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4.</w:t>
            </w:r>
            <w:r w:rsidRPr="00EE1402">
              <w:rPr>
                <w:rFonts w:ascii="Calibri Light" w:hAnsi="Calibri Light" w:cs="Calibri Light"/>
              </w:rPr>
              <w:tab/>
              <w:t>Государственный природный заповедник «Тигровая балка»</w:t>
            </w:r>
          </w:p>
          <w:p w14:paraId="5356E784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5.</w:t>
            </w:r>
            <w:r w:rsidRPr="00EE1402">
              <w:rPr>
                <w:rFonts w:ascii="Calibri Light" w:hAnsi="Calibri Light" w:cs="Calibri Light"/>
              </w:rPr>
              <w:tab/>
              <w:t xml:space="preserve">Природный заказник “Сари </w:t>
            </w:r>
            <w:proofErr w:type="spellStart"/>
            <w:r w:rsidRPr="00EE1402">
              <w:rPr>
                <w:rFonts w:ascii="Calibri Light" w:hAnsi="Calibri Light" w:cs="Calibri Light"/>
              </w:rPr>
              <w:t>Хосор</w:t>
            </w:r>
            <w:proofErr w:type="spellEnd"/>
            <w:r w:rsidRPr="00EE1402">
              <w:rPr>
                <w:rFonts w:ascii="Calibri Light" w:hAnsi="Calibri Light" w:cs="Calibri Light"/>
              </w:rPr>
              <w:t>”</w:t>
            </w:r>
          </w:p>
          <w:p w14:paraId="47FC9FD3" w14:textId="77777777" w:rsidR="003A2510" w:rsidRPr="00EE1402" w:rsidRDefault="003A2510" w:rsidP="003A2510">
            <w:pPr>
              <w:jc w:val="both"/>
              <w:rPr>
                <w:rFonts w:ascii="Calibri Light" w:hAnsi="Calibri Light" w:cs="Calibri Light"/>
              </w:rPr>
            </w:pPr>
            <w:r w:rsidRPr="00EE1402">
              <w:rPr>
                <w:rFonts w:ascii="Calibri Light" w:hAnsi="Calibri Light" w:cs="Calibri Light"/>
              </w:rPr>
              <w:t>6.</w:t>
            </w:r>
            <w:r w:rsidRPr="00EE1402">
              <w:rPr>
                <w:rFonts w:ascii="Calibri Light" w:hAnsi="Calibri Light" w:cs="Calibri Light"/>
              </w:rPr>
              <w:tab/>
              <w:t>Хатлонский природный заказник</w:t>
            </w:r>
          </w:p>
          <w:p w14:paraId="4E094A9F" w14:textId="418C3892" w:rsidR="00314061" w:rsidRPr="00F5104B" w:rsidRDefault="003A2510" w:rsidP="003A251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50BB0">
              <w:rPr>
                <w:rFonts w:ascii="Calibri Light" w:hAnsi="Calibri Light" w:cs="Calibri Light"/>
              </w:rPr>
              <w:t>7.</w:t>
            </w:r>
            <w:r w:rsidRPr="00550BB0">
              <w:rPr>
                <w:rFonts w:ascii="Calibri Light" w:hAnsi="Calibri Light" w:cs="Calibri Light"/>
              </w:rPr>
              <w:tab/>
              <w:t>Природный заказник “Каратау”</w:t>
            </w:r>
          </w:p>
        </w:tc>
      </w:tr>
    </w:tbl>
    <w:p w14:paraId="3F68403F" w14:textId="77777777" w:rsidR="00314061" w:rsidRPr="00F5104B" w:rsidRDefault="00314061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4337DDA5" w14:textId="77777777" w:rsidTr="00543897">
        <w:trPr>
          <w:jc w:val="center"/>
        </w:trPr>
        <w:tc>
          <w:tcPr>
            <w:tcW w:w="5000" w:type="pct"/>
          </w:tcPr>
          <w:p w14:paraId="1D75973E" w14:textId="687BD6AA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ВВЕДЕНИЕ</w:t>
            </w:r>
          </w:p>
        </w:tc>
      </w:tr>
      <w:tr w:rsidR="00F46642" w:rsidRPr="00F5104B" w14:paraId="3AA3D4B4" w14:textId="77777777" w:rsidTr="00543897">
        <w:trPr>
          <w:jc w:val="center"/>
        </w:trPr>
        <w:tc>
          <w:tcPr>
            <w:tcW w:w="5000" w:type="pct"/>
          </w:tcPr>
          <w:p w14:paraId="0710D96D" w14:textId="77777777" w:rsidR="00F5104B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b/>
                <w:sz w:val="22"/>
                <w:szCs w:val="22"/>
                <w:lang w:val="ru-RU"/>
              </w:rPr>
              <w:t xml:space="preserve">Краткое описание проекта: </w:t>
            </w:r>
            <w:r w:rsidRPr="00F5104B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Целью проекта является </w:t>
            </w:r>
            <w:r w:rsidRPr="00F5104B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>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</w:t>
            </w:r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 районы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Балджуван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Ш.Шохин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Фархор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, Пяндж, </w:t>
            </w:r>
            <w:proofErr w:type="spellStart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Муминобод</w:t>
            </w:r>
            <w:proofErr w:type="spellEnd"/>
            <w:r w:rsidRPr="00F5104B">
              <w:rPr>
                <w:rFonts w:asciiTheme="majorHAnsi" w:hAnsiTheme="majorHAnsi" w:cstheme="majorHAnsi"/>
                <w:sz w:val="22"/>
                <w:szCs w:val="22"/>
              </w:rPr>
              <w:t xml:space="preserve"> и Ховалинг</w:t>
            </w:r>
            <w:r w:rsidRPr="00F5104B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2C71D9A7" w14:textId="77777777" w:rsidR="00F5104B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i/>
                <w:iCs/>
                <w:sz w:val="22"/>
                <w:szCs w:val="22"/>
                <w:lang w:val="ru-RU"/>
              </w:rPr>
              <w:t>Проект состоит из трех компонентов:</w:t>
            </w:r>
          </w:p>
          <w:p w14:paraId="26B7B835" w14:textId="77777777" w:rsidR="00F5104B" w:rsidRPr="00F5104B" w:rsidRDefault="00F5104B" w:rsidP="00F5104B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Компонент 1.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Интеграция сохранения биоразнообразия и устойчивого управления земельными ресурсами в производственный ландшафт</w:t>
            </w:r>
            <w:r w:rsidRPr="00F5104B">
              <w:rPr>
                <w:rFonts w:asciiTheme="majorHAnsi" w:hAnsiTheme="majorHAnsi" w:cstheme="majorHAnsi"/>
              </w:rPr>
              <w:t xml:space="preserve"> – 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75 % территории которого используется для сельскохозяйственного производства. </w:t>
            </w:r>
          </w:p>
          <w:p w14:paraId="7122893D" w14:textId="77777777" w:rsidR="00F5104B" w:rsidRPr="00F5104B" w:rsidRDefault="00F5104B" w:rsidP="00F5104B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F5104B">
              <w:rPr>
                <w:rFonts w:asciiTheme="majorHAnsi" w:hAnsiTheme="majorHAnsi" w:cstheme="majorHAnsi"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EF57C06" w14:textId="54F7EE02" w:rsidR="00F46642" w:rsidRPr="00F5104B" w:rsidRDefault="00F5104B" w:rsidP="00F5104B">
            <w:pPr>
              <w:pStyle w:val="UNDPProdocparagraph"/>
              <w:numPr>
                <w:ilvl w:val="0"/>
                <w:numId w:val="0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F5104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Компонент 3. Управление знаниями и обучение – </w:t>
            </w:r>
            <w:r w:rsidRPr="00F5104B">
              <w:rPr>
                <w:rFonts w:asciiTheme="majorHAnsi" w:hAnsiTheme="majorHAnsi" w:cstheme="majorHAnsi"/>
                <w:sz w:val="22"/>
                <w:szCs w:val="22"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3A23C27A" w14:textId="77777777" w:rsidR="00314061" w:rsidRPr="00F5104B" w:rsidRDefault="00314061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5BB3857C" w14:textId="77777777" w:rsidTr="00543897">
        <w:tc>
          <w:tcPr>
            <w:tcW w:w="5000" w:type="pct"/>
          </w:tcPr>
          <w:p w14:paraId="08E887EF" w14:textId="6F3870DE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ЦЕЛЬ</w:t>
            </w:r>
          </w:p>
        </w:tc>
      </w:tr>
      <w:tr w:rsidR="000E5B4D" w:rsidRPr="00F5104B" w14:paraId="6406B9A7" w14:textId="77777777" w:rsidTr="00543897">
        <w:tc>
          <w:tcPr>
            <w:tcW w:w="5000" w:type="pct"/>
          </w:tcPr>
          <w:p w14:paraId="1114BF97" w14:textId="0F8810C8" w:rsidR="000E5B4D" w:rsidRPr="00F5104B" w:rsidRDefault="00FE29ED" w:rsidP="000E5B4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Сбор </w:t>
            </w:r>
            <w:r w:rsidR="000F760F" w:rsidRPr="000F760F">
              <w:rPr>
                <w:rFonts w:asciiTheme="majorHAnsi" w:hAnsiTheme="majorHAnsi" w:cstheme="majorHAnsi"/>
              </w:rPr>
              <w:t xml:space="preserve">данных, </w:t>
            </w:r>
            <w:r w:rsidR="006E3956">
              <w:rPr>
                <w:rFonts w:asciiTheme="majorHAnsi" w:hAnsiTheme="majorHAnsi" w:cstheme="majorHAnsi"/>
              </w:rPr>
              <w:t>имеющихся</w:t>
            </w:r>
            <w:r w:rsidR="000F760F" w:rsidRPr="000F760F">
              <w:rPr>
                <w:rFonts w:asciiTheme="majorHAnsi" w:hAnsiTheme="majorHAnsi" w:cstheme="majorHAnsi"/>
              </w:rPr>
              <w:t xml:space="preserve"> в базах данных</w:t>
            </w:r>
            <w:r w:rsidR="006E3956">
              <w:rPr>
                <w:rFonts w:asciiTheme="majorHAnsi" w:hAnsiTheme="majorHAnsi" w:cstheme="majorHAnsi"/>
              </w:rPr>
              <w:t xml:space="preserve"> соответствующих учреждений</w:t>
            </w:r>
            <w:r w:rsidR="000F760F" w:rsidRPr="000F760F">
              <w:rPr>
                <w:rFonts w:asciiTheme="majorHAnsi" w:hAnsiTheme="majorHAnsi" w:cstheme="majorHAnsi"/>
              </w:rPr>
              <w:t xml:space="preserve">. </w:t>
            </w:r>
            <w:r w:rsidR="006E3956">
              <w:rPr>
                <w:rFonts w:asciiTheme="majorHAnsi" w:hAnsiTheme="majorHAnsi" w:cstheme="majorHAnsi"/>
              </w:rPr>
              <w:t>О</w:t>
            </w:r>
            <w:r w:rsidR="000F760F" w:rsidRPr="000F760F">
              <w:rPr>
                <w:rFonts w:asciiTheme="majorHAnsi" w:hAnsiTheme="majorHAnsi" w:cstheme="majorHAnsi"/>
              </w:rPr>
              <w:t xml:space="preserve">сновная задача </w:t>
            </w:r>
            <w:r w:rsidR="006E3956">
              <w:rPr>
                <w:rFonts w:asciiTheme="majorHAnsi" w:hAnsiTheme="majorHAnsi" w:cstheme="majorHAnsi"/>
              </w:rPr>
              <w:t>–</w:t>
            </w:r>
            <w:r w:rsidR="000F760F" w:rsidRPr="000F760F">
              <w:rPr>
                <w:rFonts w:asciiTheme="majorHAnsi" w:hAnsiTheme="majorHAnsi" w:cstheme="majorHAnsi"/>
              </w:rPr>
              <w:t xml:space="preserve"> </w:t>
            </w:r>
            <w:r w:rsidR="006E3956">
              <w:rPr>
                <w:rFonts w:asciiTheme="majorHAnsi" w:hAnsiTheme="majorHAnsi" w:cstheme="majorHAnsi"/>
              </w:rPr>
              <w:t xml:space="preserve">провести </w:t>
            </w:r>
            <w:r w:rsidR="00DE1856">
              <w:rPr>
                <w:rFonts w:asciiTheme="majorHAnsi" w:hAnsiTheme="majorHAnsi" w:cstheme="majorHAnsi"/>
              </w:rPr>
              <w:t>сбор</w:t>
            </w:r>
            <w:r w:rsidR="006E3956">
              <w:rPr>
                <w:rFonts w:asciiTheme="majorHAnsi" w:hAnsiTheme="majorHAnsi" w:cstheme="majorHAnsi"/>
              </w:rPr>
              <w:t xml:space="preserve"> имеющейся информации </w:t>
            </w:r>
            <w:r w:rsidR="007171FC">
              <w:rPr>
                <w:rFonts w:asciiTheme="majorHAnsi" w:hAnsiTheme="majorHAnsi" w:cstheme="majorHAnsi"/>
              </w:rPr>
              <w:t xml:space="preserve">для </w:t>
            </w:r>
            <w:r w:rsidR="007171FC" w:rsidRPr="007171FC">
              <w:rPr>
                <w:rFonts w:asciiTheme="majorHAnsi" w:hAnsiTheme="majorHAnsi" w:cstheme="majorHAnsi"/>
              </w:rPr>
              <w:t>обновления и укрепления программы экологического мониторинга</w:t>
            </w:r>
            <w:r w:rsidR="007171FC">
              <w:rPr>
                <w:rFonts w:asciiTheme="majorHAnsi" w:hAnsiTheme="majorHAnsi" w:cstheme="majorHAnsi"/>
              </w:rPr>
              <w:t>.</w:t>
            </w:r>
          </w:p>
        </w:tc>
      </w:tr>
    </w:tbl>
    <w:p w14:paraId="589207D0" w14:textId="77777777" w:rsidR="00F5104B" w:rsidRPr="00F5104B" w:rsidRDefault="00F5104B" w:rsidP="00F5104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06D5EE8D" w14:textId="77777777" w:rsidTr="00543897">
        <w:trPr>
          <w:jc w:val="center"/>
        </w:trPr>
        <w:tc>
          <w:tcPr>
            <w:tcW w:w="5000" w:type="pct"/>
          </w:tcPr>
          <w:p w14:paraId="2066123A" w14:textId="419159ED" w:rsidR="00314061" w:rsidRPr="00F5104B" w:rsidRDefault="00314061" w:rsidP="00AF5386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F5104B">
              <w:rPr>
                <w:rFonts w:asciiTheme="majorHAnsi" w:hAnsiTheme="majorHAnsi" w:cstheme="majorHAnsi"/>
                <w:b/>
              </w:rPr>
              <w:t>ЗАДАЧИ И ОБЯЗАННОСТИ</w:t>
            </w:r>
          </w:p>
        </w:tc>
      </w:tr>
      <w:tr w:rsidR="00800155" w:rsidRPr="00F5104B" w14:paraId="5419F955" w14:textId="77777777" w:rsidTr="00543897">
        <w:trPr>
          <w:trHeight w:val="1353"/>
          <w:jc w:val="center"/>
        </w:trPr>
        <w:tc>
          <w:tcPr>
            <w:tcW w:w="5000" w:type="pct"/>
          </w:tcPr>
          <w:p w14:paraId="3E4DD542" w14:textId="61C854A8" w:rsidR="00800155" w:rsidRPr="00F5104B" w:rsidRDefault="00800155" w:rsidP="00EE7674">
            <w:pPr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Под общим руководством менеджера</w:t>
            </w:r>
            <w:r>
              <w:rPr>
                <w:rFonts w:asciiTheme="majorHAnsi" w:hAnsiTheme="majorHAnsi" w:cstheme="majorHAnsi"/>
              </w:rPr>
              <w:t xml:space="preserve"> и координатора</w:t>
            </w:r>
            <w:r w:rsidRPr="00F5104B">
              <w:rPr>
                <w:rFonts w:asciiTheme="majorHAnsi" w:hAnsiTheme="majorHAnsi" w:cstheme="majorHAnsi"/>
              </w:rPr>
              <w:t xml:space="preserve"> </w:t>
            </w:r>
            <w:r w:rsidRPr="00135BDB">
              <w:rPr>
                <w:rFonts w:asciiTheme="majorHAnsi" w:hAnsiTheme="majorHAnsi" w:cstheme="majorHAnsi"/>
              </w:rPr>
              <w:t xml:space="preserve">проекта </w:t>
            </w:r>
            <w:r w:rsidRPr="00135BDB">
              <w:rPr>
                <w:rFonts w:asciiTheme="majorHAnsi" w:hAnsiTheme="majorHAnsi" w:cstheme="majorHAnsi"/>
                <w:noProof/>
              </w:rPr>
              <w:t xml:space="preserve">эксперт по анализу базы данных </w:t>
            </w:r>
            <w:r w:rsidRPr="00F5104B">
              <w:rPr>
                <w:rFonts w:asciiTheme="majorHAnsi" w:hAnsiTheme="majorHAnsi" w:cstheme="majorHAnsi"/>
              </w:rPr>
              <w:t>работает в тесном сотрудничестве с</w:t>
            </w:r>
            <w:r>
              <w:rPr>
                <w:rFonts w:asciiTheme="majorHAnsi" w:hAnsiTheme="majorHAnsi" w:cstheme="majorHAnsi"/>
              </w:rPr>
              <w:t xml:space="preserve"> командой проекта, местными органами власти и партнерами </w:t>
            </w:r>
            <w:r w:rsidRPr="00F5104B">
              <w:rPr>
                <w:rFonts w:asciiTheme="majorHAnsi" w:hAnsiTheme="majorHAnsi" w:cstheme="majorHAnsi"/>
              </w:rPr>
              <w:t xml:space="preserve">и выполняет следующие </w:t>
            </w:r>
            <w:r>
              <w:rPr>
                <w:rFonts w:asciiTheme="majorHAnsi" w:hAnsiTheme="majorHAnsi" w:cstheme="majorHAnsi"/>
              </w:rPr>
              <w:t>р</w:t>
            </w:r>
            <w:r w:rsidRPr="00F5104B">
              <w:rPr>
                <w:rFonts w:asciiTheme="majorHAnsi" w:hAnsiTheme="majorHAnsi" w:cstheme="majorHAnsi"/>
              </w:rPr>
              <w:t>абот</w:t>
            </w:r>
            <w:r>
              <w:rPr>
                <w:rFonts w:asciiTheme="majorHAnsi" w:hAnsiTheme="majorHAnsi" w:cstheme="majorHAnsi"/>
              </w:rPr>
              <w:t>ы</w:t>
            </w:r>
            <w:r w:rsidRPr="00F5104B">
              <w:rPr>
                <w:rFonts w:asciiTheme="majorHAnsi" w:hAnsiTheme="majorHAnsi" w:cstheme="majorHAnsi"/>
              </w:rPr>
              <w:t>:</w:t>
            </w:r>
          </w:p>
          <w:p w14:paraId="5E8B43EE" w14:textId="35731CB7" w:rsidR="00800155" w:rsidRPr="00800155" w:rsidRDefault="00800155" w:rsidP="0080015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800155">
              <w:rPr>
                <w:rFonts w:asciiTheme="majorHAnsi" w:hAnsiTheme="majorHAnsi" w:cstheme="majorHAnsi"/>
              </w:rPr>
              <w:t xml:space="preserve">Подготовка </w:t>
            </w:r>
            <w:r w:rsidR="00B823F1">
              <w:rPr>
                <w:rFonts w:asciiTheme="majorHAnsi" w:hAnsiTheme="majorHAnsi" w:cstheme="majorHAnsi"/>
              </w:rPr>
              <w:t xml:space="preserve">методики и </w:t>
            </w:r>
            <w:r w:rsidRPr="00800155">
              <w:rPr>
                <w:rFonts w:asciiTheme="majorHAnsi" w:hAnsiTheme="majorHAnsi" w:cstheme="majorHAnsi"/>
              </w:rPr>
              <w:t xml:space="preserve">формата для </w:t>
            </w:r>
            <w:r w:rsidR="00CF0B81">
              <w:rPr>
                <w:rFonts w:asciiTheme="majorHAnsi" w:hAnsiTheme="majorHAnsi" w:cstheme="majorHAnsi"/>
              </w:rPr>
              <w:t>сбора</w:t>
            </w:r>
            <w:r w:rsidRPr="00800155">
              <w:rPr>
                <w:rFonts w:asciiTheme="majorHAnsi" w:hAnsiTheme="majorHAnsi" w:cstheme="majorHAnsi"/>
              </w:rPr>
              <w:t xml:space="preserve"> данных из всех имеющихся источников по проектным территориям; </w:t>
            </w:r>
          </w:p>
          <w:p w14:paraId="7009758B" w14:textId="28BCC16D" w:rsidR="00800155" w:rsidRDefault="00800155" w:rsidP="0080015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800155">
              <w:rPr>
                <w:rFonts w:asciiTheme="majorHAnsi" w:hAnsiTheme="majorHAnsi" w:cstheme="majorHAnsi"/>
              </w:rPr>
              <w:t xml:space="preserve">Подготовка формата и категоризация </w:t>
            </w:r>
            <w:r w:rsidR="00964154">
              <w:rPr>
                <w:rFonts w:asciiTheme="majorHAnsi" w:hAnsiTheme="majorHAnsi" w:cstheme="majorHAnsi"/>
              </w:rPr>
              <w:t xml:space="preserve">анализируемой </w:t>
            </w:r>
            <w:r w:rsidRPr="00800155">
              <w:rPr>
                <w:rFonts w:asciiTheme="majorHAnsi" w:hAnsiTheme="majorHAnsi" w:cstheme="majorHAnsi"/>
              </w:rPr>
              <w:t>информации</w:t>
            </w:r>
            <w:r w:rsidR="00B055CE">
              <w:rPr>
                <w:rFonts w:asciiTheme="majorHAnsi" w:hAnsiTheme="majorHAnsi" w:cstheme="majorHAnsi"/>
              </w:rPr>
              <w:t xml:space="preserve">; </w:t>
            </w:r>
          </w:p>
          <w:p w14:paraId="44EE53A6" w14:textId="6D4FC5FB" w:rsidR="00B823F1" w:rsidRPr="00163C29" w:rsidRDefault="00B823F1" w:rsidP="001212C5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163C29">
              <w:rPr>
                <w:rFonts w:asciiTheme="majorHAnsi" w:hAnsiTheme="majorHAnsi" w:cstheme="majorHAnsi"/>
              </w:rPr>
              <w:t>Сбор</w:t>
            </w:r>
            <w:r w:rsidR="00163C29" w:rsidRPr="00163C29">
              <w:rPr>
                <w:rFonts w:asciiTheme="majorHAnsi" w:hAnsiTheme="majorHAnsi" w:cstheme="majorHAnsi"/>
              </w:rPr>
              <w:t>,</w:t>
            </w:r>
            <w:r w:rsidRPr="00163C29">
              <w:rPr>
                <w:rFonts w:asciiTheme="majorHAnsi" w:hAnsiTheme="majorHAnsi" w:cstheme="majorHAnsi"/>
              </w:rPr>
              <w:t xml:space="preserve"> изучение</w:t>
            </w:r>
            <w:r w:rsidR="00163C29" w:rsidRPr="00163C29">
              <w:rPr>
                <w:rFonts w:asciiTheme="majorHAnsi" w:hAnsiTheme="majorHAnsi" w:cstheme="majorHAnsi"/>
              </w:rPr>
              <w:t xml:space="preserve"> и</w:t>
            </w:r>
            <w:r w:rsidRPr="00163C29">
              <w:rPr>
                <w:rFonts w:asciiTheme="majorHAnsi" w:hAnsiTheme="majorHAnsi" w:cstheme="majorHAnsi"/>
              </w:rPr>
              <w:t xml:space="preserve"> </w:t>
            </w:r>
            <w:r w:rsidR="00163C29" w:rsidRPr="00163C29">
              <w:rPr>
                <w:rFonts w:asciiTheme="majorHAnsi" w:hAnsiTheme="majorHAnsi" w:cstheme="majorHAnsi"/>
              </w:rPr>
              <w:t xml:space="preserve">анализ </w:t>
            </w:r>
            <w:r w:rsidRPr="00163C29">
              <w:rPr>
                <w:rFonts w:asciiTheme="majorHAnsi" w:hAnsiTheme="majorHAnsi" w:cstheme="majorHAnsi"/>
              </w:rPr>
              <w:t xml:space="preserve">статистических данных каждого района; </w:t>
            </w:r>
          </w:p>
          <w:p w14:paraId="65EDB8E8" w14:textId="13D4E2DA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соответствующей таблицы (</w:t>
            </w:r>
            <w:proofErr w:type="spellStart"/>
            <w:r w:rsidRPr="00B823F1">
              <w:rPr>
                <w:rFonts w:asciiTheme="majorHAnsi" w:hAnsiTheme="majorHAnsi" w:cstheme="majorHAnsi"/>
              </w:rPr>
              <w:t>эксель</w:t>
            </w:r>
            <w:proofErr w:type="spellEnd"/>
            <w:r w:rsidRPr="00B823F1">
              <w:rPr>
                <w:rFonts w:asciiTheme="majorHAnsi" w:hAnsiTheme="majorHAnsi" w:cstheme="majorHAnsi"/>
              </w:rPr>
              <w:t>) для внесения данных проектных территорий;</w:t>
            </w:r>
          </w:p>
          <w:p w14:paraId="77E0776D" w14:textId="0C52792C" w:rsid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Анализ собранной информации и представления предложений и рекомендаций по созданию единой базы данных проекта и реализуемым мероприятиям; </w:t>
            </w:r>
          </w:p>
          <w:p w14:paraId="68C83C4D" w14:textId="7650BDFC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отчет</w:t>
            </w:r>
            <w:r w:rsidR="004F7EAE">
              <w:rPr>
                <w:rFonts w:asciiTheme="majorHAnsi" w:hAnsiTheme="majorHAnsi" w:cstheme="majorHAnsi"/>
              </w:rPr>
              <w:t>а</w:t>
            </w:r>
            <w:r w:rsidRPr="00B823F1">
              <w:rPr>
                <w:rFonts w:asciiTheme="majorHAnsi" w:hAnsiTheme="majorHAnsi" w:cstheme="majorHAnsi"/>
              </w:rPr>
              <w:t xml:space="preserve"> по </w:t>
            </w:r>
            <w:r w:rsidR="004F7EAE">
              <w:rPr>
                <w:rFonts w:asciiTheme="majorHAnsi" w:hAnsiTheme="majorHAnsi" w:cstheme="majorHAnsi"/>
              </w:rPr>
              <w:t>анализу баз данных</w:t>
            </w:r>
            <w:r w:rsidRPr="00B823F1">
              <w:rPr>
                <w:rFonts w:asciiTheme="majorHAnsi" w:hAnsiTheme="majorHAnsi" w:cstheme="majorHAnsi"/>
              </w:rPr>
              <w:t>, хранении информации и анализ собранной информации;</w:t>
            </w:r>
          </w:p>
          <w:p w14:paraId="03E661E8" w14:textId="197BDF3D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Подготовка формата базы данных, ее описание основные функции, задачи, методы использования информации и ее заполнение; </w:t>
            </w:r>
          </w:p>
          <w:p w14:paraId="59880AAB" w14:textId="3A4E8C80" w:rsidR="004F7EAE" w:rsidRDefault="004F7EAE" w:rsidP="004F7EAE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Подготовка таблиц, графиков,</w:t>
            </w:r>
            <w:r>
              <w:rPr>
                <w:rFonts w:asciiTheme="majorHAnsi" w:hAnsiTheme="majorHAnsi" w:cstheme="majorHAnsi"/>
              </w:rPr>
              <w:t xml:space="preserve"> диаграмм,</w:t>
            </w:r>
            <w:r w:rsidRPr="00B823F1">
              <w:rPr>
                <w:rFonts w:asciiTheme="majorHAnsi" w:hAnsiTheme="majorHAnsi" w:cstheme="majorHAnsi"/>
              </w:rPr>
              <w:t xml:space="preserve"> схем и другой графической информации по статистике проектных территорий</w:t>
            </w:r>
            <w:r>
              <w:rPr>
                <w:rFonts w:asciiTheme="majorHAnsi" w:hAnsiTheme="majorHAnsi" w:cstheme="majorHAnsi"/>
              </w:rPr>
              <w:t xml:space="preserve"> для базы данных</w:t>
            </w:r>
            <w:r w:rsidRPr="00B823F1">
              <w:rPr>
                <w:rFonts w:asciiTheme="majorHAnsi" w:hAnsiTheme="majorHAnsi" w:cstheme="majorHAnsi"/>
              </w:rPr>
              <w:t xml:space="preserve">; </w:t>
            </w:r>
          </w:p>
          <w:p w14:paraId="42F83B5C" w14:textId="508D0A11" w:rsidR="004F7EAE" w:rsidRDefault="0070446A" w:rsidP="004F7EAE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Введение информации в созданную </w:t>
            </w:r>
            <w:r w:rsidR="004F7EAE">
              <w:rPr>
                <w:rFonts w:asciiTheme="majorHAnsi" w:hAnsiTheme="majorHAnsi" w:cstheme="majorHAnsi"/>
              </w:rPr>
              <w:t>баз</w:t>
            </w:r>
            <w:r>
              <w:rPr>
                <w:rFonts w:asciiTheme="majorHAnsi" w:hAnsiTheme="majorHAnsi" w:cstheme="majorHAnsi"/>
              </w:rPr>
              <w:t>у</w:t>
            </w:r>
            <w:r w:rsidR="004F7EAE">
              <w:rPr>
                <w:rFonts w:asciiTheme="majorHAnsi" w:hAnsiTheme="majorHAnsi" w:cstheme="majorHAnsi"/>
              </w:rPr>
              <w:t xml:space="preserve"> данных</w:t>
            </w:r>
            <w:r>
              <w:rPr>
                <w:rFonts w:asciiTheme="majorHAnsi" w:hAnsiTheme="majorHAnsi" w:cstheme="majorHAnsi"/>
              </w:rPr>
              <w:t>, по категориям</w:t>
            </w:r>
            <w:r w:rsidR="004F7EAE">
              <w:rPr>
                <w:rFonts w:asciiTheme="majorHAnsi" w:hAnsiTheme="majorHAnsi" w:cstheme="majorHAnsi"/>
              </w:rPr>
              <w:t>;</w:t>
            </w:r>
          </w:p>
          <w:p w14:paraId="74C070BC" w14:textId="4817E4AB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>Соблюдение конфиденциальности о данных, не подлежащих огласке;</w:t>
            </w:r>
          </w:p>
          <w:p w14:paraId="15B1BF81" w14:textId="5E59605D" w:rsidR="00B823F1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 xml:space="preserve">Подготовка </w:t>
            </w:r>
            <w:r w:rsidR="00A9760E">
              <w:rPr>
                <w:rFonts w:asciiTheme="majorHAnsi" w:hAnsiTheme="majorHAnsi" w:cstheme="majorHAnsi"/>
              </w:rPr>
              <w:t xml:space="preserve">и представление </w:t>
            </w:r>
            <w:r w:rsidRPr="00B823F1">
              <w:rPr>
                <w:rFonts w:asciiTheme="majorHAnsi" w:hAnsiTheme="majorHAnsi" w:cstheme="majorHAnsi"/>
              </w:rPr>
              <w:t xml:space="preserve">презентаций </w:t>
            </w:r>
            <w:r w:rsidR="00A9760E">
              <w:rPr>
                <w:rFonts w:asciiTheme="majorHAnsi" w:hAnsiTheme="majorHAnsi" w:cstheme="majorHAnsi"/>
              </w:rPr>
              <w:t>на</w:t>
            </w:r>
            <w:r w:rsidRPr="00B823F1">
              <w:rPr>
                <w:rFonts w:asciiTheme="majorHAnsi" w:hAnsiTheme="majorHAnsi" w:cstheme="majorHAnsi"/>
              </w:rPr>
              <w:t xml:space="preserve"> семинар</w:t>
            </w:r>
            <w:r w:rsidR="00A9760E">
              <w:rPr>
                <w:rFonts w:asciiTheme="majorHAnsi" w:hAnsiTheme="majorHAnsi" w:cstheme="majorHAnsi"/>
              </w:rPr>
              <w:t>ах</w:t>
            </w:r>
            <w:r w:rsidRPr="00B823F1">
              <w:rPr>
                <w:rFonts w:asciiTheme="majorHAnsi" w:hAnsiTheme="majorHAnsi" w:cstheme="majorHAnsi"/>
              </w:rPr>
              <w:t>, тренинг</w:t>
            </w:r>
            <w:r w:rsidR="00A9760E">
              <w:rPr>
                <w:rFonts w:asciiTheme="majorHAnsi" w:hAnsiTheme="majorHAnsi" w:cstheme="majorHAnsi"/>
              </w:rPr>
              <w:t>ах</w:t>
            </w:r>
            <w:r w:rsidRPr="00B823F1">
              <w:rPr>
                <w:rFonts w:asciiTheme="majorHAnsi" w:hAnsiTheme="majorHAnsi" w:cstheme="majorHAnsi"/>
              </w:rPr>
              <w:t xml:space="preserve"> и других мероприяти</w:t>
            </w:r>
            <w:r w:rsidR="00A9760E">
              <w:rPr>
                <w:rFonts w:asciiTheme="majorHAnsi" w:hAnsiTheme="majorHAnsi" w:cstheme="majorHAnsi"/>
              </w:rPr>
              <w:t>ях</w:t>
            </w:r>
            <w:r w:rsidRPr="00B823F1">
              <w:rPr>
                <w:rFonts w:asciiTheme="majorHAnsi" w:hAnsiTheme="majorHAnsi" w:cstheme="majorHAnsi"/>
              </w:rPr>
              <w:t xml:space="preserve"> проекта всем заинтересованным сторонам и бенефициарам;</w:t>
            </w:r>
          </w:p>
          <w:p w14:paraId="7B179E1F" w14:textId="10E6691C" w:rsidR="00B055CE" w:rsidRPr="00B823F1" w:rsidRDefault="00B823F1" w:rsidP="00B823F1">
            <w:pPr>
              <w:pStyle w:val="a4"/>
              <w:numPr>
                <w:ilvl w:val="0"/>
                <w:numId w:val="42"/>
              </w:numPr>
              <w:ind w:left="454" w:hanging="283"/>
              <w:jc w:val="both"/>
              <w:rPr>
                <w:rFonts w:asciiTheme="majorHAnsi" w:hAnsiTheme="majorHAnsi" w:cstheme="majorHAnsi"/>
              </w:rPr>
            </w:pPr>
            <w:r w:rsidRPr="00B823F1">
              <w:rPr>
                <w:rFonts w:asciiTheme="majorHAnsi" w:hAnsiTheme="majorHAnsi" w:cstheme="majorHAnsi"/>
              </w:rPr>
              <w:t xml:space="preserve">Подготовка информационных материалов </w:t>
            </w:r>
            <w:proofErr w:type="spellStart"/>
            <w:r w:rsidRPr="00B823F1">
              <w:rPr>
                <w:rFonts w:asciiTheme="majorHAnsi" w:hAnsiTheme="majorHAnsi" w:cstheme="majorHAnsi"/>
              </w:rPr>
              <w:t>инфографиков</w:t>
            </w:r>
            <w:proofErr w:type="spellEnd"/>
            <w:r w:rsidRPr="00B823F1">
              <w:rPr>
                <w:rFonts w:asciiTheme="majorHAnsi" w:hAnsiTheme="majorHAnsi" w:cstheme="majorHAnsi"/>
              </w:rPr>
              <w:t xml:space="preserve"> и других иллюстраций по собранной информации и данным проектных территорий. </w:t>
            </w:r>
          </w:p>
        </w:tc>
      </w:tr>
    </w:tbl>
    <w:p w14:paraId="0487A3DE" w14:textId="77777777" w:rsidR="00184922" w:rsidRPr="00F5104B" w:rsidRDefault="00184922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14061" w:rsidRPr="00F5104B" w14:paraId="2ADC05BF" w14:textId="77777777" w:rsidTr="00543897">
        <w:trPr>
          <w:jc w:val="center"/>
        </w:trPr>
        <w:tc>
          <w:tcPr>
            <w:tcW w:w="5000" w:type="pct"/>
          </w:tcPr>
          <w:p w14:paraId="3AFA2EA3" w14:textId="45BF4BA1" w:rsidR="00314061" w:rsidRPr="00163C29" w:rsidRDefault="00314061" w:rsidP="00163C29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 w:rsidRPr="00163C29">
              <w:rPr>
                <w:rFonts w:asciiTheme="majorHAnsi" w:hAnsiTheme="majorHAnsi" w:cstheme="majorHAnsi"/>
                <w:b/>
              </w:rPr>
              <w:t>ОЖИДАЕМЫЙ РЕЗУЛЬТАТ</w:t>
            </w:r>
          </w:p>
        </w:tc>
      </w:tr>
      <w:tr w:rsidR="00314061" w:rsidRPr="00F5104B" w14:paraId="02BB0199" w14:textId="77777777" w:rsidTr="00543897">
        <w:trPr>
          <w:jc w:val="center"/>
        </w:trPr>
        <w:tc>
          <w:tcPr>
            <w:tcW w:w="5000" w:type="pct"/>
          </w:tcPr>
          <w:p w14:paraId="55D544C1" w14:textId="336627B5" w:rsidR="008D666D" w:rsidRPr="00F5104B" w:rsidRDefault="008D666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</w:t>
            </w:r>
            <w:r w:rsidR="00130622" w:rsidRPr="00F5104B">
              <w:rPr>
                <w:rFonts w:asciiTheme="majorHAnsi" w:hAnsiTheme="majorHAnsi" w:cstheme="majorHAnsi"/>
              </w:rPr>
              <w:t>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5"/>
              <w:gridCol w:w="6617"/>
              <w:gridCol w:w="2330"/>
            </w:tblGrid>
            <w:tr w:rsidR="00163C29" w:rsidRPr="00F5104B" w14:paraId="7E973087" w14:textId="77777777" w:rsidTr="005A607E">
              <w:trPr>
                <w:trHeight w:val="256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B8E2E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A7465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01FEF" w14:textId="77777777" w:rsidR="00163C29" w:rsidRPr="00F5104B" w:rsidRDefault="00163C29" w:rsidP="008D666D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F5104B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3666D5" w:rsidRPr="00F5104B" w14:paraId="023E3F99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9CB6" w14:textId="77777777" w:rsidR="003666D5" w:rsidRPr="00F5104B" w:rsidRDefault="003666D5" w:rsidP="003666D5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BAB9" w14:textId="7758BA61" w:rsidR="003666D5" w:rsidRPr="00966165" w:rsidRDefault="003666D5" w:rsidP="003666D5">
                  <w:pPr>
                    <w:jc w:val="both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1</w:t>
                  </w:r>
                  <w:r w:rsidRPr="00163C29"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 w:rsidRPr="005B03A9">
                    <w:rPr>
                      <w:rFonts w:ascii="Calibri Light" w:hAnsi="Calibri Light" w:cs="Calibri Light"/>
                      <w:b/>
                    </w:rPr>
                    <w:t>Первый отчет</w:t>
                  </w:r>
                </w:p>
                <w:p w14:paraId="52177577" w14:textId="3AF7040F" w:rsidR="00F23C3A" w:rsidRPr="00DF178D" w:rsidRDefault="00F23C3A" w:rsidP="00F23C3A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DF178D">
                    <w:rPr>
                      <w:rFonts w:asciiTheme="majorHAnsi" w:hAnsiTheme="majorHAnsi" w:cstheme="majorHAnsi"/>
                    </w:rPr>
                    <w:t>Использование специальных инструментов для извлечения необходимых данных</w:t>
                  </w:r>
                  <w:r w:rsidRPr="00F23C3A">
                    <w:rPr>
                      <w:rFonts w:asciiTheme="majorHAnsi" w:hAnsiTheme="majorHAnsi" w:cstheme="majorHAnsi"/>
                    </w:rPr>
                    <w:t>;</w:t>
                  </w:r>
                </w:p>
                <w:p w14:paraId="46B4A5E4" w14:textId="77777777" w:rsidR="003666D5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800155">
                    <w:rPr>
                      <w:rFonts w:asciiTheme="majorHAnsi" w:hAnsiTheme="majorHAnsi" w:cstheme="majorHAnsi"/>
                    </w:rPr>
                    <w:t>Подготов</w:t>
                  </w:r>
                  <w:r>
                    <w:rPr>
                      <w:rFonts w:asciiTheme="majorHAnsi" w:hAnsiTheme="majorHAnsi" w:cstheme="majorHAnsi"/>
                    </w:rPr>
                    <w:t>лен</w:t>
                  </w:r>
                  <w:r w:rsidRPr="00800155">
                    <w:rPr>
                      <w:rFonts w:asciiTheme="majorHAnsi" w:hAnsiTheme="majorHAnsi" w:cstheme="majorHAnsi"/>
                    </w:rPr>
                    <w:t xml:space="preserve"> формат и категоризация </w:t>
                  </w:r>
                  <w:r>
                    <w:rPr>
                      <w:rFonts w:asciiTheme="majorHAnsi" w:hAnsiTheme="majorHAnsi" w:cstheme="majorHAnsi"/>
                    </w:rPr>
                    <w:t xml:space="preserve">анализируемой </w:t>
                  </w:r>
                  <w:r w:rsidRPr="00800155">
                    <w:rPr>
                      <w:rFonts w:asciiTheme="majorHAnsi" w:hAnsiTheme="majorHAnsi" w:cstheme="majorHAnsi"/>
                    </w:rPr>
                    <w:t>информации</w:t>
                  </w:r>
                  <w:r>
                    <w:rPr>
                      <w:rFonts w:asciiTheme="majorHAnsi" w:hAnsiTheme="majorHAnsi" w:cstheme="majorHAnsi"/>
                    </w:rPr>
                    <w:t xml:space="preserve">; </w:t>
                  </w:r>
                </w:p>
                <w:p w14:paraId="6B4C90BF" w14:textId="1B4D0987" w:rsidR="003666D5" w:rsidRPr="00163C29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</w:rPr>
                    <w:t>Обзор со</w:t>
                  </w:r>
                  <w:r w:rsidRPr="00163C29">
                    <w:rPr>
                      <w:rFonts w:asciiTheme="majorHAnsi" w:hAnsiTheme="majorHAnsi" w:cstheme="majorHAnsi"/>
                    </w:rPr>
                    <w:t>бр</w:t>
                  </w:r>
                  <w:r>
                    <w:rPr>
                      <w:rFonts w:asciiTheme="majorHAnsi" w:hAnsiTheme="majorHAnsi" w:cstheme="majorHAnsi"/>
                    </w:rPr>
                    <w:t>анной</w:t>
                  </w:r>
                  <w:r w:rsidRPr="00163C29">
                    <w:rPr>
                      <w:rFonts w:asciiTheme="majorHAnsi" w:hAnsiTheme="majorHAnsi" w:cstheme="majorHAnsi"/>
                    </w:rPr>
                    <w:t>, изуче</w:t>
                  </w:r>
                  <w:r>
                    <w:rPr>
                      <w:rFonts w:asciiTheme="majorHAnsi" w:hAnsiTheme="majorHAnsi" w:cstheme="majorHAnsi"/>
                    </w:rPr>
                    <w:t>н</w:t>
                  </w:r>
                  <w:r w:rsidRPr="00163C29">
                    <w:rPr>
                      <w:rFonts w:asciiTheme="majorHAnsi" w:hAnsiTheme="majorHAnsi" w:cstheme="majorHAnsi"/>
                    </w:rPr>
                    <w:t>н</w:t>
                  </w:r>
                  <w:r>
                    <w:rPr>
                      <w:rFonts w:asciiTheme="majorHAnsi" w:hAnsiTheme="majorHAnsi" w:cstheme="majorHAnsi"/>
                    </w:rPr>
                    <w:t xml:space="preserve">ой </w:t>
                  </w:r>
                  <w:r w:rsidRPr="00163C29">
                    <w:rPr>
                      <w:rFonts w:asciiTheme="majorHAnsi" w:hAnsiTheme="majorHAnsi" w:cstheme="majorHAnsi"/>
                    </w:rPr>
                    <w:t xml:space="preserve">и </w:t>
                  </w:r>
                  <w:r>
                    <w:rPr>
                      <w:rFonts w:asciiTheme="majorHAnsi" w:hAnsiTheme="majorHAnsi" w:cstheme="majorHAnsi"/>
                    </w:rPr>
                    <w:t>про</w:t>
                  </w:r>
                  <w:r w:rsidRPr="00163C29">
                    <w:rPr>
                      <w:rFonts w:asciiTheme="majorHAnsi" w:hAnsiTheme="majorHAnsi" w:cstheme="majorHAnsi"/>
                    </w:rPr>
                    <w:t>анализ</w:t>
                  </w:r>
                  <w:r>
                    <w:rPr>
                      <w:rFonts w:asciiTheme="majorHAnsi" w:hAnsiTheme="majorHAnsi" w:cstheme="majorHAnsi"/>
                    </w:rPr>
                    <w:t>ированной</w:t>
                  </w:r>
                  <w:r w:rsidRPr="00163C29">
                    <w:rPr>
                      <w:rFonts w:asciiTheme="majorHAnsi" w:hAnsiTheme="majorHAnsi" w:cstheme="majorHAnsi"/>
                    </w:rPr>
                    <w:t xml:space="preserve"> статистическ</w:t>
                  </w:r>
                  <w:r>
                    <w:rPr>
                      <w:rFonts w:asciiTheme="majorHAnsi" w:hAnsiTheme="majorHAnsi" w:cstheme="majorHAnsi"/>
                    </w:rPr>
                    <w:t xml:space="preserve">ой информации проектных </w:t>
                  </w:r>
                  <w:r w:rsidRPr="00163C29">
                    <w:rPr>
                      <w:rFonts w:asciiTheme="majorHAnsi" w:hAnsiTheme="majorHAnsi" w:cstheme="majorHAnsi"/>
                    </w:rPr>
                    <w:t>район</w:t>
                  </w:r>
                  <w:r>
                    <w:rPr>
                      <w:rFonts w:asciiTheme="majorHAnsi" w:hAnsiTheme="majorHAnsi" w:cstheme="majorHAnsi"/>
                    </w:rPr>
                    <w:t>ов</w:t>
                  </w:r>
                  <w:r w:rsidRPr="00163C29">
                    <w:rPr>
                      <w:rFonts w:asciiTheme="majorHAnsi" w:hAnsiTheme="majorHAnsi" w:cstheme="majorHAnsi"/>
                    </w:rPr>
                    <w:t>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E5D8" w14:textId="4A170FE9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октября 2024 г.</w:t>
                  </w:r>
                </w:p>
              </w:tc>
            </w:tr>
            <w:tr w:rsidR="003666D5" w:rsidRPr="00F5104B" w14:paraId="6D61AFA0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70F4" w14:textId="77777777" w:rsidR="003666D5" w:rsidRPr="00F5104B" w:rsidRDefault="003666D5" w:rsidP="003666D5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4CAB" w14:textId="5888B4D1" w:rsidR="003666D5" w:rsidRPr="00CC788E" w:rsidRDefault="003666D5" w:rsidP="003666D5">
                  <w:pPr>
                    <w:jc w:val="both"/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Результат 2</w:t>
                  </w:r>
                  <w:r w:rsidRPr="00163C29">
                    <w:rPr>
                      <w:rFonts w:asciiTheme="majorHAnsi" w:hAnsiTheme="majorHAnsi" w:cstheme="majorHAnsi"/>
                      <w:b/>
                      <w:lang w:eastAsia="zh-CN"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Второй отчет</w:t>
                  </w:r>
                </w:p>
                <w:p w14:paraId="7184EF81" w14:textId="77777777" w:rsidR="00220E45" w:rsidRPr="00220E45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B823F1">
                    <w:rPr>
                      <w:rFonts w:asciiTheme="majorHAnsi" w:hAnsiTheme="majorHAnsi" w:cstheme="majorHAnsi"/>
                    </w:rPr>
                    <w:t>Подготовка таблиц (</w:t>
                  </w:r>
                  <w:proofErr w:type="spellStart"/>
                  <w:r w:rsidRPr="00B823F1">
                    <w:rPr>
                      <w:rFonts w:asciiTheme="majorHAnsi" w:hAnsiTheme="majorHAnsi" w:cstheme="majorHAnsi"/>
                    </w:rPr>
                    <w:t>эксель</w:t>
                  </w:r>
                  <w:proofErr w:type="spellEnd"/>
                  <w:r w:rsidRPr="00B823F1">
                    <w:rPr>
                      <w:rFonts w:asciiTheme="majorHAnsi" w:hAnsiTheme="majorHAnsi" w:cstheme="majorHAnsi"/>
                    </w:rPr>
                    <w:t>) для внесения данных проектных территорий;</w:t>
                  </w:r>
                  <w:r w:rsidR="00220E45" w:rsidRPr="00DF178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BE1BC1B" w14:textId="13E51EED" w:rsidR="003666D5" w:rsidRPr="00B823F1" w:rsidRDefault="00220E4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DF178D">
                    <w:rPr>
                      <w:rFonts w:asciiTheme="majorHAnsi" w:hAnsiTheme="majorHAnsi" w:cstheme="majorHAnsi"/>
                    </w:rPr>
                    <w:t>Ответы на запросы, связанные с данными, и их отслеживание</w:t>
                  </w:r>
                  <w:r w:rsidRPr="00220E45">
                    <w:rPr>
                      <w:rFonts w:asciiTheme="majorHAnsi" w:hAnsiTheme="majorHAnsi" w:cstheme="majorHAnsi"/>
                    </w:rPr>
                    <w:t>;</w:t>
                  </w:r>
                </w:p>
                <w:p w14:paraId="3A032DE4" w14:textId="7CF3724E" w:rsidR="003666D5" w:rsidRPr="00220E45" w:rsidRDefault="003666D5" w:rsidP="00220E4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Анализ собранной информации и представления предложений и рекомендаций по созданию единой базы данных проекта и реализуемым мероприятиям;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44CE3" w14:textId="764F1B40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декабря 2024 г.</w:t>
                  </w:r>
                </w:p>
              </w:tc>
            </w:tr>
            <w:tr w:rsidR="003666D5" w:rsidRPr="00F5104B" w14:paraId="26C90D4F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A313" w14:textId="77777777" w:rsidR="003666D5" w:rsidRPr="00F5104B" w:rsidRDefault="003666D5" w:rsidP="003666D5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05BBC" w14:textId="3B06EB55" w:rsidR="003666D5" w:rsidRPr="00CC788E" w:rsidRDefault="003666D5" w:rsidP="003666D5">
                  <w:pPr>
                    <w:jc w:val="both"/>
                    <w:rPr>
                      <w:rFonts w:asciiTheme="majorHAnsi" w:hAnsiTheme="majorHAnsi" w:cstheme="majorHAnsi"/>
                      <w:b/>
                      <w:highlight w:val="yellow"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Результат 3</w:t>
                  </w:r>
                  <w:r w:rsidRPr="00163C29">
                    <w:rPr>
                      <w:rFonts w:asciiTheme="majorHAnsi" w:hAnsiTheme="majorHAnsi" w:cstheme="majorHAnsi"/>
                      <w:b/>
                      <w:lang w:eastAsia="zh-CN"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 w:eastAsia="zh-CN"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Третий отчет</w:t>
                  </w:r>
                </w:p>
                <w:p w14:paraId="2D9795BE" w14:textId="77777777" w:rsidR="003666D5" w:rsidRPr="00717C6D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20" w:hanging="210"/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4F7EAE">
                    <w:rPr>
                      <w:rFonts w:asciiTheme="majorHAnsi" w:hAnsiTheme="majorHAnsi" w:cstheme="majorHAnsi"/>
                    </w:rPr>
                    <w:t xml:space="preserve">Подготовка формата базы данных, ее описание основные функции, задачи, методы использования информации и ее заполнение; </w:t>
                  </w:r>
                </w:p>
                <w:p w14:paraId="4FB7F6BD" w14:textId="442725B1" w:rsidR="00717C6D" w:rsidRPr="004F7EAE" w:rsidRDefault="00717C6D" w:rsidP="003666D5">
                  <w:pPr>
                    <w:pStyle w:val="a4"/>
                    <w:numPr>
                      <w:ilvl w:val="0"/>
                      <w:numId w:val="42"/>
                    </w:numPr>
                    <w:ind w:left="220" w:hanging="210"/>
                    <w:jc w:val="both"/>
                    <w:rPr>
                      <w:rFonts w:asciiTheme="majorHAnsi" w:hAnsiTheme="majorHAnsi" w:cstheme="majorHAnsi"/>
                      <w:b/>
                      <w:lang w:eastAsia="zh-CN"/>
                    </w:rPr>
                  </w:pPr>
                  <w:r w:rsidRPr="00DF178D">
                    <w:rPr>
                      <w:rFonts w:asciiTheme="majorHAnsi" w:hAnsiTheme="majorHAnsi" w:cstheme="majorHAnsi"/>
                    </w:rPr>
                    <w:t>Настройка процессов и систем для повышения эффективности работы с данными</w:t>
                  </w:r>
                  <w:r w:rsidRPr="00717C6D">
                    <w:rPr>
                      <w:rFonts w:asciiTheme="majorHAnsi" w:hAnsiTheme="majorHAnsi" w:cstheme="majorHAnsi"/>
                    </w:rPr>
                    <w:t>;</w:t>
                  </w:r>
                </w:p>
                <w:p w14:paraId="6DD126E7" w14:textId="77777777" w:rsidR="002D0CD8" w:rsidRPr="002D0CD8" w:rsidRDefault="002D0CD8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DF178D">
                    <w:rPr>
                      <w:rFonts w:asciiTheme="majorHAnsi" w:hAnsiTheme="majorHAnsi" w:cstheme="majorHAnsi"/>
                    </w:rPr>
                    <w:t>Составление отчетов и диаграмм, сообщающих тенденции в данных неспециалистам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7FB0E431" w14:textId="4C54D737" w:rsidR="003666D5" w:rsidRPr="00AE3C42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Введение информации в созданную базу данных, по категориям;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F3944" w14:textId="3A94DB3C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февраля 2025 г.</w:t>
                  </w:r>
                </w:p>
              </w:tc>
            </w:tr>
            <w:tr w:rsidR="003666D5" w:rsidRPr="00F5104B" w14:paraId="3F15900A" w14:textId="77777777" w:rsidTr="005A607E">
              <w:trPr>
                <w:trHeight w:val="561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AC786" w14:textId="77777777" w:rsidR="003666D5" w:rsidRPr="00F5104B" w:rsidRDefault="003666D5" w:rsidP="003666D5">
                  <w:pPr>
                    <w:pStyle w:val="a4"/>
                    <w:numPr>
                      <w:ilvl w:val="0"/>
                      <w:numId w:val="4"/>
                    </w:num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D70CA" w14:textId="5E312F03" w:rsidR="003666D5" w:rsidRPr="00F5104B" w:rsidRDefault="003666D5" w:rsidP="003666D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Результат 4</w:t>
                  </w:r>
                  <w:r w:rsidRPr="00F5104B">
                    <w:rPr>
                      <w:rFonts w:asciiTheme="majorHAnsi" w:hAnsiTheme="majorHAnsi" w:cstheme="majorHAnsi"/>
                      <w:b/>
                      <w:bCs/>
                    </w:rPr>
                    <w:t>: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 xml:space="preserve"> Четвертый отчет</w:t>
                  </w:r>
                </w:p>
                <w:p w14:paraId="2E8E0CAD" w14:textId="77777777" w:rsidR="003666D5" w:rsidRPr="00B823F1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B823F1">
                    <w:rPr>
                      <w:rFonts w:asciiTheme="majorHAnsi" w:hAnsiTheme="majorHAnsi" w:cstheme="majorHAnsi"/>
                    </w:rPr>
                    <w:t xml:space="preserve">Подготовка </w:t>
                  </w:r>
                  <w:r>
                    <w:rPr>
                      <w:rFonts w:asciiTheme="majorHAnsi" w:hAnsiTheme="majorHAnsi" w:cstheme="majorHAnsi"/>
                    </w:rPr>
                    <w:t xml:space="preserve">и представление </w:t>
                  </w:r>
                  <w:r w:rsidRPr="00B823F1">
                    <w:rPr>
                      <w:rFonts w:asciiTheme="majorHAnsi" w:hAnsiTheme="majorHAnsi" w:cstheme="majorHAnsi"/>
                    </w:rPr>
                    <w:t xml:space="preserve">презентаций </w:t>
                  </w:r>
                  <w:r>
                    <w:rPr>
                      <w:rFonts w:asciiTheme="majorHAnsi" w:hAnsiTheme="majorHAnsi" w:cstheme="majorHAnsi"/>
                    </w:rPr>
                    <w:t>на</w:t>
                  </w:r>
                  <w:r w:rsidRPr="00B823F1">
                    <w:rPr>
                      <w:rFonts w:asciiTheme="majorHAnsi" w:hAnsiTheme="majorHAnsi" w:cstheme="majorHAnsi"/>
                    </w:rPr>
                    <w:t xml:space="preserve"> семинар</w:t>
                  </w:r>
                  <w:r>
                    <w:rPr>
                      <w:rFonts w:asciiTheme="majorHAnsi" w:hAnsiTheme="majorHAnsi" w:cstheme="majorHAnsi"/>
                    </w:rPr>
                    <w:t>ах</w:t>
                  </w:r>
                  <w:r w:rsidRPr="00B823F1">
                    <w:rPr>
                      <w:rFonts w:asciiTheme="majorHAnsi" w:hAnsiTheme="majorHAnsi" w:cstheme="majorHAnsi"/>
                    </w:rPr>
                    <w:t>, тренинг</w:t>
                  </w:r>
                  <w:r>
                    <w:rPr>
                      <w:rFonts w:asciiTheme="majorHAnsi" w:hAnsiTheme="majorHAnsi" w:cstheme="majorHAnsi"/>
                    </w:rPr>
                    <w:t>ах</w:t>
                  </w:r>
                  <w:r w:rsidRPr="00B823F1">
                    <w:rPr>
                      <w:rFonts w:asciiTheme="majorHAnsi" w:hAnsiTheme="majorHAnsi" w:cstheme="majorHAnsi"/>
                    </w:rPr>
                    <w:t xml:space="preserve"> и других мероприяти</w:t>
                  </w:r>
                  <w:r>
                    <w:rPr>
                      <w:rFonts w:asciiTheme="majorHAnsi" w:hAnsiTheme="majorHAnsi" w:cstheme="majorHAnsi"/>
                    </w:rPr>
                    <w:t>ях</w:t>
                  </w:r>
                  <w:r w:rsidRPr="00B823F1">
                    <w:rPr>
                      <w:rFonts w:asciiTheme="majorHAnsi" w:hAnsiTheme="majorHAnsi" w:cstheme="majorHAnsi"/>
                    </w:rPr>
                    <w:t xml:space="preserve"> проекта всем заинтересованным сторонам и бенефициарам;</w:t>
                  </w:r>
                </w:p>
                <w:p w14:paraId="57C181DC" w14:textId="77777777" w:rsidR="003666D5" w:rsidRPr="004F1677" w:rsidRDefault="003666D5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7B7653">
                    <w:rPr>
                      <w:rFonts w:asciiTheme="majorHAnsi" w:hAnsiTheme="majorHAnsi" w:cstheme="majorHAnsi"/>
                    </w:rPr>
                    <w:t>Подготовка информационных материалов</w:t>
                  </w:r>
                  <w:r w:rsidRPr="00C13B7F">
                    <w:rPr>
                      <w:rFonts w:asciiTheme="majorHAnsi" w:hAnsiTheme="majorHAnsi" w:cstheme="majorHAnsi"/>
                    </w:rPr>
                    <w:t>,</w:t>
                  </w:r>
                  <w:r w:rsidRPr="007B7653"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Pr="007B7653">
                    <w:rPr>
                      <w:rFonts w:asciiTheme="majorHAnsi" w:hAnsiTheme="majorHAnsi" w:cstheme="majorHAnsi"/>
                    </w:rPr>
                    <w:t>инфографиков</w:t>
                  </w:r>
                  <w:proofErr w:type="spellEnd"/>
                  <w:r w:rsidRPr="007B7653">
                    <w:rPr>
                      <w:rFonts w:asciiTheme="majorHAnsi" w:hAnsiTheme="majorHAnsi" w:cstheme="majorHAnsi"/>
                    </w:rPr>
                    <w:t xml:space="preserve"> и других иллюстраций по собранной информации и данным проектных территорий.</w:t>
                  </w:r>
                </w:p>
                <w:p w14:paraId="31855E16" w14:textId="2B12D50B" w:rsidR="004F1677" w:rsidRPr="004F7EAE" w:rsidRDefault="004F1677" w:rsidP="003666D5">
                  <w:pPr>
                    <w:pStyle w:val="a4"/>
                    <w:numPr>
                      <w:ilvl w:val="0"/>
                      <w:numId w:val="42"/>
                    </w:numPr>
                    <w:ind w:left="200" w:hanging="200"/>
                    <w:jc w:val="both"/>
                    <w:rPr>
                      <w:rFonts w:asciiTheme="majorHAnsi" w:hAnsiTheme="majorHAnsi" w:cstheme="majorHAnsi"/>
                    </w:rPr>
                  </w:pPr>
                  <w:r w:rsidRPr="004F1677">
                    <w:rPr>
                      <w:rFonts w:asciiTheme="majorHAnsi" w:hAnsiTheme="majorHAnsi" w:cstheme="majorHAnsi"/>
                    </w:rPr>
                    <w:t>Представление информации, полученной из данных.</w:t>
                  </w:r>
                </w:p>
              </w:tc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735F3" w14:textId="7AD7DE03" w:rsidR="003666D5" w:rsidRPr="00F5104B" w:rsidRDefault="003666D5" w:rsidP="003666D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25 апреля 2025 г.</w:t>
                  </w:r>
                </w:p>
              </w:tc>
            </w:tr>
          </w:tbl>
          <w:p w14:paraId="579B7A98" w14:textId="77777777" w:rsidR="00D03B9D" w:rsidRPr="007B7653" w:rsidRDefault="00D03B9D" w:rsidP="00517429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367871A0" w14:textId="77777777" w:rsidR="00C051FC" w:rsidRDefault="00C051FC" w:rsidP="00676BF2">
      <w:pPr>
        <w:rPr>
          <w:rFonts w:asciiTheme="majorHAnsi" w:hAnsiTheme="majorHAnsi" w:cstheme="majorHAnsi"/>
          <w:lang w:val="en-US"/>
        </w:rPr>
      </w:pPr>
    </w:p>
    <w:p w14:paraId="6C2534D5" w14:textId="77777777" w:rsidR="00DF178D" w:rsidRPr="00DF178D" w:rsidRDefault="00DF178D" w:rsidP="00676BF2">
      <w:pPr>
        <w:rPr>
          <w:rFonts w:asciiTheme="majorHAnsi" w:hAnsiTheme="majorHAnsi" w:cstheme="majorHAnsi"/>
          <w:lang w:val="en-US"/>
        </w:rPr>
      </w:pPr>
    </w:p>
    <w:p w14:paraId="752D259B" w14:textId="4676B4FA" w:rsidR="00AF5386" w:rsidRPr="004F7EAE" w:rsidRDefault="00AF5386" w:rsidP="004F7EAE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ПРОФЕССИОНАЛЬНЫЕ НАВЫКИ И ОПЫТ</w:t>
      </w:r>
    </w:p>
    <w:p w14:paraId="436163AF" w14:textId="117B69F1" w:rsidR="00AF5386" w:rsidRPr="00F5104B" w:rsidRDefault="00AF5386" w:rsidP="00AF5386">
      <w:pPr>
        <w:jc w:val="both"/>
        <w:rPr>
          <w:rFonts w:asciiTheme="majorHAnsi" w:hAnsiTheme="majorHAnsi" w:cstheme="majorHAnsi"/>
          <w:b/>
          <w:bCs/>
        </w:rPr>
      </w:pP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F5104B">
        <w:rPr>
          <w:rFonts w:asciiTheme="majorHAnsi" w:hAnsiTheme="majorHAnsi" w:cstheme="majorHAnsi"/>
          <w:b/>
          <w:bCs/>
          <w:lang w:val="en-US"/>
        </w:rPr>
        <w:t>:</w:t>
      </w:r>
    </w:p>
    <w:p w14:paraId="0A3A1522" w14:textId="166EFFD8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00304B">
        <w:rPr>
          <w:rFonts w:asciiTheme="majorHAnsi" w:hAnsiTheme="majorHAnsi" w:cstheme="majorHAnsi"/>
          <w:noProof/>
        </w:rPr>
        <w:t xml:space="preserve">аналитики </w:t>
      </w:r>
      <w:r w:rsidR="00494F50">
        <w:rPr>
          <w:rFonts w:asciiTheme="majorHAnsi" w:hAnsiTheme="majorHAnsi" w:cstheme="majorHAnsi"/>
          <w:noProof/>
        </w:rPr>
        <w:t>базы данных</w:t>
      </w:r>
      <w:r w:rsidR="0006353E">
        <w:rPr>
          <w:rFonts w:asciiTheme="majorHAnsi" w:hAnsiTheme="majorHAnsi" w:cstheme="majorHAnsi"/>
          <w:noProof/>
        </w:rPr>
        <w:t xml:space="preserve"> </w:t>
      </w:r>
      <w:r w:rsidRPr="00F5104B">
        <w:rPr>
          <w:rFonts w:asciiTheme="majorHAnsi" w:hAnsiTheme="majorHAnsi" w:cstheme="majorHAnsi"/>
          <w:noProof/>
        </w:rPr>
        <w:t>или аналогичных отраслей.</w:t>
      </w:r>
      <w:r w:rsidRPr="00F5104B">
        <w:rPr>
          <w:rFonts w:asciiTheme="majorHAnsi" w:hAnsiTheme="majorHAnsi" w:cstheme="majorHAnsi"/>
          <w:b/>
          <w:bCs/>
        </w:rPr>
        <w:t xml:space="preserve"> (Критерия А)</w:t>
      </w:r>
    </w:p>
    <w:p w14:paraId="714963AF" w14:textId="77777777" w:rsidR="00AF5386" w:rsidRPr="00F5104B" w:rsidRDefault="00AF5386" w:rsidP="00AF5386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F5104B">
        <w:rPr>
          <w:rFonts w:asciiTheme="majorHAnsi" w:hAnsiTheme="majorHAnsi" w:cstheme="majorHAnsi"/>
          <w:b/>
          <w:bCs/>
          <w:lang w:val="en-US"/>
        </w:rPr>
        <w:t>:</w:t>
      </w:r>
    </w:p>
    <w:p w14:paraId="27822278" w14:textId="75AB97BC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</w:r>
      <w:r w:rsidRPr="00F5104B">
        <w:rPr>
          <w:rFonts w:asciiTheme="majorHAnsi" w:hAnsiTheme="majorHAnsi" w:cstheme="majorHAnsi"/>
          <w:b/>
          <w:bCs/>
        </w:rPr>
        <w:t>(Критерия Б)</w:t>
      </w:r>
    </w:p>
    <w:p w14:paraId="63E8D0C2" w14:textId="4DC0CEA1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F5104B">
        <w:rPr>
          <w:rFonts w:asciiTheme="majorHAnsi" w:hAnsiTheme="majorHAnsi" w:cstheme="majorHAnsi"/>
          <w:b/>
          <w:bCs/>
        </w:rPr>
        <w:t>(Критерия С)</w:t>
      </w:r>
    </w:p>
    <w:p w14:paraId="759D82C2" w14:textId="4F60640F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DE2344">
        <w:rPr>
          <w:rFonts w:asciiTheme="majorHAnsi" w:hAnsiTheme="majorHAnsi" w:cstheme="majorHAnsi"/>
          <w:noProof/>
        </w:rPr>
        <w:t>аналитики базы данных</w:t>
      </w:r>
      <w:r w:rsidRPr="00F5104B">
        <w:rPr>
          <w:rFonts w:asciiTheme="majorHAnsi" w:hAnsiTheme="majorHAnsi" w:cstheme="majorHAnsi"/>
        </w:rPr>
        <w:t xml:space="preserve">; </w:t>
      </w:r>
      <w:r w:rsidRPr="00F5104B">
        <w:rPr>
          <w:rFonts w:asciiTheme="majorHAnsi" w:hAnsiTheme="majorHAnsi" w:cstheme="majorHAnsi"/>
          <w:b/>
          <w:bCs/>
        </w:rPr>
        <w:t xml:space="preserve">(Критерия </w:t>
      </w:r>
      <w:r w:rsidRPr="00F5104B">
        <w:rPr>
          <w:rFonts w:asciiTheme="majorHAnsi" w:hAnsiTheme="majorHAnsi" w:cstheme="majorHAnsi"/>
          <w:b/>
          <w:bCs/>
          <w:lang w:val="en-US"/>
        </w:rPr>
        <w:t>D</w:t>
      </w:r>
      <w:r w:rsidRPr="00F5104B">
        <w:rPr>
          <w:rFonts w:asciiTheme="majorHAnsi" w:hAnsiTheme="majorHAnsi" w:cstheme="majorHAnsi"/>
          <w:b/>
          <w:bCs/>
        </w:rPr>
        <w:t>)</w:t>
      </w:r>
      <w:r w:rsidRPr="00F5104B">
        <w:rPr>
          <w:rFonts w:asciiTheme="majorHAnsi" w:hAnsiTheme="majorHAnsi" w:cstheme="majorHAnsi"/>
        </w:rPr>
        <w:t xml:space="preserve"> </w:t>
      </w:r>
    </w:p>
    <w:p w14:paraId="36AE35FA" w14:textId="3C0B9FBD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DE2344">
        <w:rPr>
          <w:rFonts w:asciiTheme="majorHAnsi" w:hAnsiTheme="majorHAnsi" w:cstheme="majorHAnsi"/>
          <w:noProof/>
        </w:rPr>
        <w:t>аналитики базы данных</w:t>
      </w:r>
      <w:r w:rsidRPr="00F5104B">
        <w:rPr>
          <w:rFonts w:asciiTheme="majorHAnsi" w:hAnsiTheme="majorHAnsi" w:cstheme="majorHAnsi"/>
        </w:rPr>
        <w:t xml:space="preserve">; </w:t>
      </w:r>
      <w:r w:rsidRPr="00F5104B">
        <w:rPr>
          <w:rFonts w:asciiTheme="majorHAnsi" w:hAnsiTheme="majorHAnsi" w:cstheme="majorHAnsi"/>
          <w:b/>
          <w:bCs/>
        </w:rPr>
        <w:t>(Критерия Е)</w:t>
      </w:r>
      <w:r w:rsidR="00DE2344">
        <w:rPr>
          <w:rFonts w:asciiTheme="majorHAnsi" w:hAnsiTheme="majorHAnsi" w:cstheme="majorHAnsi"/>
          <w:b/>
          <w:bCs/>
        </w:rPr>
        <w:t xml:space="preserve"> </w:t>
      </w:r>
    </w:p>
    <w:p w14:paraId="54598811" w14:textId="24FBEFA7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F5104B">
        <w:rPr>
          <w:rFonts w:asciiTheme="majorHAnsi" w:hAnsiTheme="majorHAnsi" w:cstheme="majorHAnsi"/>
          <w:b/>
          <w:bCs/>
        </w:rPr>
        <w:t xml:space="preserve">(Критерия </w:t>
      </w:r>
      <w:r w:rsidRPr="00F5104B">
        <w:rPr>
          <w:rFonts w:asciiTheme="majorHAnsi" w:hAnsiTheme="majorHAnsi" w:cstheme="majorHAnsi"/>
          <w:b/>
          <w:bCs/>
          <w:lang w:val="en-US"/>
        </w:rPr>
        <w:t>F</w:t>
      </w:r>
      <w:r w:rsidRPr="00F5104B">
        <w:rPr>
          <w:rFonts w:asciiTheme="majorHAnsi" w:hAnsiTheme="majorHAnsi" w:cstheme="majorHAnsi"/>
          <w:b/>
          <w:bCs/>
        </w:rPr>
        <w:t>)</w:t>
      </w:r>
      <w:r w:rsidRPr="00F5104B">
        <w:rPr>
          <w:rFonts w:asciiTheme="majorHAnsi" w:hAnsiTheme="majorHAnsi" w:cstheme="majorHAnsi"/>
        </w:rPr>
        <w:t xml:space="preserve"> </w:t>
      </w:r>
      <w:r w:rsidR="00DE2344">
        <w:rPr>
          <w:rFonts w:asciiTheme="majorHAnsi" w:hAnsiTheme="majorHAnsi" w:cstheme="majorHAnsi"/>
        </w:rPr>
        <w:t xml:space="preserve"> </w:t>
      </w:r>
    </w:p>
    <w:p w14:paraId="09C5E2A0" w14:textId="5B7C195F" w:rsidR="00AF5386" w:rsidRPr="00F5104B" w:rsidRDefault="00AF5386" w:rsidP="00871A3B">
      <w:pPr>
        <w:pStyle w:val="a4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F5104B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F5104B">
        <w:rPr>
          <w:rFonts w:asciiTheme="majorHAnsi" w:hAnsiTheme="majorHAnsi" w:cstheme="majorHAnsi"/>
        </w:rPr>
        <w:t xml:space="preserve">. </w:t>
      </w:r>
      <w:r w:rsidRPr="00F5104B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F5104B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F5104B">
        <w:rPr>
          <w:rFonts w:asciiTheme="majorHAnsi" w:hAnsiTheme="majorHAnsi" w:cstheme="majorHAnsi"/>
          <w:b/>
          <w:bCs/>
        </w:rPr>
        <w:t>я</w:t>
      </w:r>
      <w:r w:rsidR="001C6A86" w:rsidRPr="00F5104B">
        <w:rPr>
          <w:rFonts w:asciiTheme="majorHAnsi" w:hAnsiTheme="majorHAnsi" w:cstheme="majorHAnsi"/>
          <w:b/>
          <w:bCs/>
        </w:rPr>
        <w:t xml:space="preserve"> </w:t>
      </w:r>
      <w:r w:rsidRPr="00F5104B">
        <w:rPr>
          <w:rFonts w:asciiTheme="majorHAnsi" w:hAnsiTheme="majorHAnsi" w:cstheme="majorHAnsi"/>
          <w:b/>
          <w:bCs/>
          <w:lang w:val="en-US"/>
        </w:rPr>
        <w:t>G)</w:t>
      </w:r>
    </w:p>
    <w:p w14:paraId="18438971" w14:textId="3F03534A" w:rsidR="00AF5386" w:rsidRPr="00F5104B" w:rsidRDefault="00AF5386" w:rsidP="00871A3B">
      <w:pPr>
        <w:spacing w:before="120" w:after="120"/>
        <w:jc w:val="both"/>
        <w:rPr>
          <w:rFonts w:asciiTheme="majorHAnsi" w:hAnsiTheme="majorHAnsi" w:cstheme="majorHAnsi"/>
          <w:b/>
        </w:rPr>
      </w:pPr>
      <w:proofErr w:type="spellStart"/>
      <w:r w:rsidRPr="00F5104B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F5104B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71FC766F" w14:textId="77777777" w:rsidR="00AF5386" w:rsidRPr="00F5104B" w:rsidRDefault="00AF5386" w:rsidP="00871A3B">
      <w:pPr>
        <w:spacing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F5104B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>:</w:t>
      </w:r>
    </w:p>
    <w:p w14:paraId="7D587DFA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46E5D130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7996F188" w14:textId="77777777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работа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; </w:t>
      </w:r>
    </w:p>
    <w:p w14:paraId="1DE1AD76" w14:textId="63F170AA" w:rsidR="00AF5386" w:rsidRPr="00F5104B" w:rsidRDefault="00AF5386" w:rsidP="00871A3B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F5104B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F5104B">
        <w:rPr>
          <w:rFonts w:asciiTheme="majorHAnsi" w:hAnsiTheme="majorHAnsi" w:cstheme="majorHAnsi"/>
          <w:lang w:val="en-GB"/>
        </w:rPr>
        <w:t>.</w:t>
      </w:r>
    </w:p>
    <w:p w14:paraId="224DDA75" w14:textId="163BA676" w:rsidR="00AF5386" w:rsidRPr="00871A3B" w:rsidRDefault="00AF5386" w:rsidP="00871A3B">
      <w:pPr>
        <w:spacing w:before="120" w:after="120"/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F5104B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F5104B">
        <w:rPr>
          <w:rFonts w:asciiTheme="majorHAnsi" w:hAnsiTheme="majorHAnsi" w:cstheme="majorHAnsi"/>
          <w:i/>
          <w:lang w:val="en-GB"/>
        </w:rPr>
        <w:t>:</w:t>
      </w:r>
    </w:p>
    <w:p w14:paraId="1FC26D3C" w14:textId="442445F8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Государственные стандарты; </w:t>
      </w:r>
    </w:p>
    <w:p w14:paraId="00E54927" w14:textId="380F007D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7734130A" w14:textId="77777777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23CB577A" w14:textId="77777777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AE7B777" w14:textId="17EFFD39" w:rsidR="00AF5386" w:rsidRPr="00F5104B" w:rsidRDefault="00AF5386" w:rsidP="00871A3B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F5104B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AA238B8" w14:textId="6A1E5093" w:rsidR="00DF5E61" w:rsidRPr="00F5104B" w:rsidRDefault="00DF5E61" w:rsidP="00871A3B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  <w:lang w:val="en-GB"/>
        </w:rPr>
      </w:pPr>
      <w:r w:rsidRPr="00F5104B">
        <w:rPr>
          <w:rFonts w:asciiTheme="majorHAnsi" w:hAnsiTheme="majorHAnsi" w:cstheme="majorHAnsi"/>
          <w:b/>
        </w:rPr>
        <w:t>ПЛАТЕЖИ И</w:t>
      </w:r>
      <w:r w:rsidRPr="00F5104B">
        <w:rPr>
          <w:rFonts w:asciiTheme="majorHAnsi" w:hAnsiTheme="majorHAnsi" w:cstheme="majorHAnsi"/>
          <w:b/>
          <w:lang w:val="en-GB"/>
        </w:rPr>
        <w:t xml:space="preserve"> ОТЧЕТНОСТЬ</w:t>
      </w:r>
    </w:p>
    <w:p w14:paraId="241B2531" w14:textId="50E56411" w:rsidR="00DF5E61" w:rsidRPr="00F5104B" w:rsidRDefault="00DF5E61" w:rsidP="00871A3B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406E8AF6" w14:textId="7F620241" w:rsidR="00DF5E61" w:rsidRPr="00F5104B" w:rsidRDefault="00DF5E61" w:rsidP="00871A3B">
      <w:pPr>
        <w:pStyle w:val="a4"/>
        <w:numPr>
          <w:ilvl w:val="0"/>
          <w:numId w:val="16"/>
        </w:numPr>
        <w:spacing w:before="40" w:after="40" w:line="240" w:lineRule="auto"/>
        <w:ind w:left="714" w:hanging="357"/>
        <w:contextualSpacing w:val="0"/>
        <w:rPr>
          <w:rFonts w:asciiTheme="majorHAnsi" w:hAnsiTheme="majorHAnsi" w:cstheme="majorHAnsi"/>
          <w:lang w:val="en-GB"/>
        </w:rPr>
      </w:pPr>
      <w:r w:rsidRPr="00F5104B">
        <w:rPr>
          <w:rFonts w:asciiTheme="majorHAnsi" w:hAnsiTheme="majorHAnsi" w:cstheme="majorHAnsi"/>
        </w:rPr>
        <w:t>25</w:t>
      </w:r>
      <w:r w:rsidRPr="00F5104B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F5104B">
        <w:rPr>
          <w:rFonts w:asciiTheme="majorHAnsi" w:hAnsiTheme="majorHAnsi" w:cstheme="majorHAnsi"/>
          <w:lang w:val="en-GB"/>
        </w:rPr>
        <w:t>при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успешном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1.</w:t>
      </w:r>
    </w:p>
    <w:p w14:paraId="6BD5E81D" w14:textId="15EA0C72" w:rsidR="00DF5E61" w:rsidRPr="00F5104B" w:rsidRDefault="00DF5E61" w:rsidP="00871A3B">
      <w:pPr>
        <w:pStyle w:val="a4"/>
        <w:numPr>
          <w:ilvl w:val="0"/>
          <w:numId w:val="16"/>
        </w:numPr>
        <w:spacing w:before="40" w:after="40" w:line="240" w:lineRule="auto"/>
        <w:ind w:left="714" w:hanging="357"/>
        <w:contextualSpacing w:val="0"/>
        <w:rPr>
          <w:rFonts w:asciiTheme="majorHAnsi" w:hAnsiTheme="majorHAnsi" w:cstheme="majorHAnsi"/>
          <w:lang w:val="en-GB"/>
        </w:rPr>
      </w:pPr>
      <w:r w:rsidRPr="00F5104B">
        <w:rPr>
          <w:rFonts w:asciiTheme="majorHAnsi" w:hAnsiTheme="majorHAnsi" w:cstheme="majorHAnsi"/>
        </w:rPr>
        <w:lastRenderedPageBreak/>
        <w:t>25</w:t>
      </w:r>
      <w:r w:rsidRPr="00F5104B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F5104B">
        <w:rPr>
          <w:rFonts w:asciiTheme="majorHAnsi" w:hAnsiTheme="majorHAnsi" w:cstheme="majorHAnsi"/>
          <w:lang w:val="en-GB"/>
        </w:rPr>
        <w:t>при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успешном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2.</w:t>
      </w:r>
    </w:p>
    <w:p w14:paraId="08369E32" w14:textId="481B079F" w:rsidR="00DF5E61" w:rsidRPr="00F5104B" w:rsidRDefault="00DF5E61" w:rsidP="00871A3B">
      <w:pPr>
        <w:pStyle w:val="a4"/>
        <w:numPr>
          <w:ilvl w:val="0"/>
          <w:numId w:val="16"/>
        </w:numPr>
        <w:spacing w:before="40" w:after="40" w:line="240" w:lineRule="auto"/>
        <w:ind w:left="714" w:hanging="357"/>
        <w:contextualSpacing w:val="0"/>
        <w:rPr>
          <w:rFonts w:asciiTheme="majorHAnsi" w:hAnsiTheme="majorHAnsi" w:cstheme="majorHAnsi"/>
          <w:lang w:val="en-GB"/>
        </w:rPr>
      </w:pPr>
      <w:r w:rsidRPr="00F5104B">
        <w:rPr>
          <w:rFonts w:asciiTheme="majorHAnsi" w:hAnsiTheme="majorHAnsi" w:cstheme="majorHAnsi"/>
        </w:rPr>
        <w:t>25</w:t>
      </w:r>
      <w:r w:rsidRPr="00F5104B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F5104B">
        <w:rPr>
          <w:rFonts w:asciiTheme="majorHAnsi" w:hAnsiTheme="majorHAnsi" w:cstheme="majorHAnsi"/>
          <w:lang w:val="en-GB"/>
        </w:rPr>
        <w:t>при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успешном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3.</w:t>
      </w:r>
    </w:p>
    <w:p w14:paraId="4F1914C4" w14:textId="46A673CF" w:rsidR="00DF5E61" w:rsidRPr="00F5104B" w:rsidRDefault="00DF5E61" w:rsidP="00871A3B">
      <w:pPr>
        <w:pStyle w:val="a4"/>
        <w:numPr>
          <w:ilvl w:val="0"/>
          <w:numId w:val="16"/>
        </w:numPr>
        <w:spacing w:before="40" w:after="40" w:line="240" w:lineRule="auto"/>
        <w:ind w:left="714" w:hanging="357"/>
        <w:contextualSpacing w:val="0"/>
        <w:rPr>
          <w:rFonts w:asciiTheme="majorHAnsi" w:hAnsiTheme="majorHAnsi" w:cstheme="majorHAnsi"/>
          <w:lang w:val="en-GB"/>
        </w:rPr>
      </w:pPr>
      <w:r w:rsidRPr="00F5104B">
        <w:rPr>
          <w:rFonts w:asciiTheme="majorHAnsi" w:hAnsiTheme="majorHAnsi" w:cstheme="majorHAnsi"/>
        </w:rPr>
        <w:t>25</w:t>
      </w:r>
      <w:r w:rsidRPr="00F5104B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F5104B">
        <w:rPr>
          <w:rFonts w:asciiTheme="majorHAnsi" w:hAnsiTheme="majorHAnsi" w:cstheme="majorHAnsi"/>
          <w:lang w:val="en-GB"/>
        </w:rPr>
        <w:t>при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успешном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F5104B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F5104B">
        <w:rPr>
          <w:rFonts w:asciiTheme="majorHAnsi" w:hAnsiTheme="majorHAnsi" w:cstheme="majorHAnsi"/>
          <w:lang w:val="en-GB"/>
        </w:rPr>
        <w:t xml:space="preserve"> </w:t>
      </w:r>
      <w:r w:rsidRPr="00F5104B">
        <w:rPr>
          <w:rFonts w:asciiTheme="majorHAnsi" w:hAnsiTheme="majorHAnsi" w:cstheme="majorHAnsi"/>
        </w:rPr>
        <w:t>4</w:t>
      </w:r>
      <w:r w:rsidRPr="00F5104B">
        <w:rPr>
          <w:rFonts w:asciiTheme="majorHAnsi" w:hAnsiTheme="majorHAnsi" w:cstheme="majorHAnsi"/>
          <w:lang w:val="en-GB"/>
        </w:rPr>
        <w:t>.</w:t>
      </w:r>
    </w:p>
    <w:p w14:paraId="161019DC" w14:textId="6CD2236F" w:rsidR="00DF5E61" w:rsidRPr="00F5104B" w:rsidRDefault="00DF5E61" w:rsidP="00871A3B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Ожидается, что в ходе выполнения задания консультант проведет 10% своего рабочего времени в поездках по стране. Даты этих поездок будут согласованы между консультантом и НЦББ.</w:t>
      </w:r>
    </w:p>
    <w:p w14:paraId="75132792" w14:textId="77777777" w:rsidR="00DF5E61" w:rsidRPr="00F5104B" w:rsidRDefault="00DF5E61" w:rsidP="00871A3B">
      <w:pPr>
        <w:pStyle w:val="a4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ТРЕБОВАНИЯ К ПРЕДСТАВЛЕНИЮ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F5E61" w:rsidRPr="00F5104B" w14:paraId="28222525" w14:textId="77777777" w:rsidTr="00543897">
        <w:trPr>
          <w:jc w:val="center"/>
        </w:trPr>
        <w:tc>
          <w:tcPr>
            <w:tcW w:w="5000" w:type="pct"/>
            <w:shd w:val="clear" w:color="auto" w:fill="auto"/>
          </w:tcPr>
          <w:p w14:paraId="4CCE7A57" w14:textId="77777777" w:rsidR="00DF5E61" w:rsidRPr="00F5104B" w:rsidRDefault="00DF5E61" w:rsidP="00713BEA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0EC62F55" w14:textId="49838C79" w:rsidR="00DF5E61" w:rsidRPr="00F5104B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F5104B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64128381" w14:textId="22FB1AB0" w:rsidR="00DF5E61" w:rsidRPr="00F5104B" w:rsidRDefault="008F4AD0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F5104B">
              <w:rPr>
                <w:rFonts w:asciiTheme="majorHAnsi" w:hAnsiTheme="majorHAnsi" w:cstheme="majorHAnsi"/>
                <w:b/>
              </w:rPr>
              <w:t>Резюме</w:t>
            </w:r>
          </w:p>
          <w:p w14:paraId="354BCB79" w14:textId="22A4C019" w:rsidR="00DF5E61" w:rsidRPr="00F5104B" w:rsidRDefault="00DF5E61" w:rsidP="00DF5E6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F5104B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5CE0F440" w14:textId="19E6E78E" w:rsidR="00DF5E61" w:rsidRPr="00F5104B" w:rsidRDefault="00DF5E61" w:rsidP="00DF5E6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b/>
              </w:rPr>
              <w:t>Финансовое предложение/письмо оферента</w:t>
            </w:r>
            <w:r w:rsidRPr="00F5104B">
              <w:rPr>
                <w:rFonts w:asciiTheme="majorHAnsi" w:hAnsiTheme="majorHAnsi" w:cstheme="majorHAnsi"/>
              </w:rPr>
              <w:t xml:space="preserve">, в котором указана комплексная фиксированная общая стоимость контракта и все другие расходы, связанные с поездками (например, авиабилеты, суточные и т.д.), подтвержденное разбивкой затрат согласно шаблону, приложенному к </w:t>
            </w:r>
            <w:hyperlink r:id="rId7" w:history="1">
              <w:r w:rsidRPr="00F5104B">
                <w:rPr>
                  <w:rFonts w:asciiTheme="majorHAnsi" w:hAnsiTheme="majorHAnsi" w:cstheme="majorHAnsi"/>
                </w:rPr>
                <w:t xml:space="preserve">письму-подтверждению.  </w:t>
              </w:r>
            </w:hyperlink>
          </w:p>
          <w:p w14:paraId="47445BEB" w14:textId="0606C06A" w:rsidR="002A2D6A" w:rsidRPr="002A2D6A" w:rsidRDefault="002A2D6A" w:rsidP="002A2D6A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3D071910" w14:textId="4F8548BD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7EB30322" w14:textId="2EBA023A" w:rsidR="00DF5E61" w:rsidRPr="00F5104B" w:rsidRDefault="00DF5E61" w:rsidP="00871A3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722214" w14:textId="195E62D4" w:rsidR="00DF5E61" w:rsidRPr="00F5104B" w:rsidRDefault="00DF5E61" w:rsidP="00871A3B">
            <w:pPr>
              <w:numPr>
                <w:ilvl w:val="0"/>
                <w:numId w:val="19"/>
              </w:numPr>
              <w:spacing w:after="0" w:line="240" w:lineRule="auto"/>
              <w:ind w:left="313" w:hanging="142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2920DA4" w14:textId="77777777" w:rsidR="00DF5E61" w:rsidRPr="00F5104B" w:rsidRDefault="00DF5E61" w:rsidP="00713BEA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F5104B">
              <w:rPr>
                <w:rFonts w:asciiTheme="majorHAnsi" w:hAnsiTheme="majorHAnsi" w:cstheme="majorHAnsi"/>
                <w:color w:val="FF0000"/>
              </w:rPr>
              <w:t>Примечание: Все расходы, связанные с посещением объектов проекта и командировочными расходами, будут возмещены проектом.</w:t>
            </w:r>
          </w:p>
        </w:tc>
      </w:tr>
    </w:tbl>
    <w:p w14:paraId="3CC7D0DB" w14:textId="77777777" w:rsidR="00AF5386" w:rsidRPr="00F5104B" w:rsidRDefault="00AF5386" w:rsidP="00543897">
      <w:pPr>
        <w:spacing w:after="0" w:line="240" w:lineRule="auto"/>
        <w:rPr>
          <w:rFonts w:asciiTheme="majorHAnsi" w:hAnsiTheme="majorHAnsi" w:cstheme="majorHAnsi"/>
        </w:rPr>
      </w:pPr>
    </w:p>
    <w:p w14:paraId="1EA09403" w14:textId="5375A7B8" w:rsidR="00DF5E61" w:rsidRPr="00F5104B" w:rsidRDefault="00DF5E61" w:rsidP="00163C29">
      <w:pPr>
        <w:pStyle w:val="a4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</w:rPr>
      </w:pPr>
      <w:r w:rsidRPr="00F5104B">
        <w:rPr>
          <w:rFonts w:asciiTheme="majorHAnsi" w:hAnsiTheme="majorHAnsi" w:cstheme="majorHAnsi"/>
          <w:b/>
        </w:rPr>
        <w:t>ОЦЕНКА</w:t>
      </w:r>
    </w:p>
    <w:p w14:paraId="082C2779" w14:textId="609C64AC" w:rsidR="00DF5E61" w:rsidRPr="00F5104B" w:rsidRDefault="00DF5E61" w:rsidP="00D65E1C">
      <w:pPr>
        <w:pStyle w:val="a4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F5104B">
        <w:rPr>
          <w:rFonts w:asciiTheme="majorHAnsi" w:hAnsiTheme="majorHAnsi" w:cstheme="majorHAnsi"/>
          <w:i/>
        </w:rPr>
        <w:t xml:space="preserve"> </w:t>
      </w:r>
      <w:r w:rsidRPr="00F5104B">
        <w:rPr>
          <w:rFonts w:asciiTheme="majorHAnsi" w:hAnsiTheme="majorHAnsi" w:cstheme="majorHAnsi"/>
        </w:rPr>
        <w:t>только в процессе кабинетной проверки.</w:t>
      </w:r>
      <w:r w:rsidRPr="00F5104B">
        <w:rPr>
          <w:rFonts w:asciiTheme="majorHAnsi" w:hAnsiTheme="majorHAnsi" w:cstheme="majorHAnsi"/>
          <w:i/>
        </w:rPr>
        <w:t xml:space="preserve"> </w:t>
      </w:r>
      <w:r w:rsidRPr="00F5104B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20F31531" w14:textId="404698C2" w:rsidR="00DF5E61" w:rsidRPr="00F5104B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* Оценка технического предложения – 70%.</w:t>
      </w:r>
    </w:p>
    <w:p w14:paraId="6BF36ABD" w14:textId="321A90EA" w:rsidR="00DF5E61" w:rsidRPr="00F5104B" w:rsidRDefault="00DF5E61" w:rsidP="00DF5E61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* Оценка финансового предложения – 30%.</w:t>
      </w:r>
    </w:p>
    <w:p w14:paraId="254D5B9C" w14:textId="05081618" w:rsidR="00DF5E61" w:rsidRPr="00F5104B" w:rsidRDefault="00DF5E61" w:rsidP="00D65E1C">
      <w:pPr>
        <w:pStyle w:val="a4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5104B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F5104B">
        <w:rPr>
          <w:rFonts w:asciiTheme="majorHAnsi" w:hAnsiTheme="majorHAnsi" w:cstheme="majorHAnsi"/>
          <w:lang w:val="en-US"/>
        </w:rPr>
        <w:t> </w:t>
      </w:r>
      <w:r w:rsidRPr="00F5104B">
        <w:rPr>
          <w:rFonts w:asciiTheme="majorHAnsi" w:hAnsiTheme="majorHAnsi" w:cstheme="majorHAnsi"/>
        </w:rPr>
        <w:t>% (технические), а ценовое предложение — 30</w:t>
      </w:r>
      <w:r w:rsidRPr="00F5104B">
        <w:rPr>
          <w:rFonts w:asciiTheme="majorHAnsi" w:hAnsiTheme="majorHAnsi" w:cstheme="majorHAnsi"/>
          <w:lang w:val="en-US"/>
        </w:rPr>
        <w:t> </w:t>
      </w:r>
      <w:r w:rsidRPr="00F5104B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4"/>
        <w:gridCol w:w="7573"/>
        <w:gridCol w:w="1721"/>
      </w:tblGrid>
      <w:tr w:rsidR="00DF5E61" w:rsidRPr="00F5104B" w14:paraId="330A4D4E" w14:textId="77777777" w:rsidTr="00543897">
        <w:trPr>
          <w:trHeight w:val="98"/>
          <w:jc w:val="center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4CC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7A2" w14:textId="3A79D79A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DF5E61" w:rsidRPr="00F5104B" w14:paraId="64ABDA5A" w14:textId="77777777" w:rsidTr="00543897">
        <w:trPr>
          <w:trHeight w:val="22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FCE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CD7" w14:textId="6CA3E4E1" w:rsidR="00DF5E61" w:rsidRPr="00F5104B" w:rsidRDefault="00DE2344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 xml:space="preserve">аналитики базы данных </w:t>
            </w:r>
            <w:r w:rsidRPr="00F5104B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="00DF5E61" w:rsidRPr="00F5104B">
              <w:rPr>
                <w:rFonts w:asciiTheme="majorHAnsi" w:hAnsiTheme="majorHAnsi" w:cstheme="majorHAnsi"/>
                <w:b/>
                <w:bCs/>
              </w:rPr>
              <w:t xml:space="preserve"> (Критерия А)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720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DF5E61" w:rsidRPr="00F5104B" w14:paraId="4EC86D8F" w14:textId="77777777" w:rsidTr="00543897">
        <w:trPr>
          <w:trHeight w:val="86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5D5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EDF" w14:textId="689335F0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землепользования, агрономии, изменения климата, управления природными ресурсами, характерных для Таджикистана;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0B1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F5104B" w14:paraId="2845A473" w14:textId="77777777" w:rsidTr="00543897">
        <w:trPr>
          <w:trHeight w:val="55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6D2" w14:textId="22445775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2842" w14:textId="20A63C1C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A18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DF5E61" w:rsidRPr="00F5104B" w14:paraId="3D2D601C" w14:textId="77777777" w:rsidTr="00543897">
        <w:trPr>
          <w:trHeight w:val="51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F6E" w14:textId="3C36EEC8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A8" w14:textId="14893575" w:rsidR="00DF5E61" w:rsidRPr="00F5104B" w:rsidRDefault="0088037E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аналитики базы данных</w:t>
            </w:r>
            <w:r w:rsidRPr="00F5104B">
              <w:rPr>
                <w:rFonts w:asciiTheme="majorHAnsi" w:hAnsiTheme="majorHAnsi" w:cstheme="majorHAnsi"/>
              </w:rPr>
              <w:t xml:space="preserve">; 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1C6A86" w:rsidRPr="00F5104B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1C6A86" w:rsidRPr="00F5104B">
              <w:rPr>
                <w:rFonts w:asciiTheme="majorHAnsi" w:hAnsiTheme="majorHAnsi" w:cstheme="majorHAnsi"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ECC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DF5E61" w:rsidRPr="00F5104B" w14:paraId="32EBFBD3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083" w14:textId="3863E7D5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901" w14:textId="78901DB8" w:rsidR="00DF5E61" w:rsidRPr="00F5104B" w:rsidRDefault="007E4378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аналитики базы данных</w:t>
            </w:r>
            <w:r w:rsidRPr="00F5104B">
              <w:rPr>
                <w:rFonts w:asciiTheme="majorHAnsi" w:hAnsiTheme="majorHAnsi" w:cstheme="majorHAnsi"/>
              </w:rPr>
              <w:t>;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C6A86" w:rsidRPr="00F5104B">
              <w:rPr>
                <w:rFonts w:asciiTheme="majorHAnsi" w:hAnsiTheme="majorHAnsi" w:cstheme="majorHAnsi"/>
                <w:b/>
                <w:bCs/>
              </w:rPr>
              <w:t>(Критерия Е)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="00B10962" w:rsidRPr="00B10962">
              <w:rPr>
                <w:rFonts w:asciiTheme="majorHAnsi" w:hAnsiTheme="majorHAnsi" w:cstheme="majorHAnsi"/>
                <w:b/>
                <w:bCs/>
                <w:i/>
                <w:iCs/>
              </w:rPr>
              <w:t>аналитики и базы данных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3AB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F5104B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DF5E61" w:rsidRPr="00F5104B" w14:paraId="0BC0FE0B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C4A" w14:textId="7E19C277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2C" w14:textId="0C6C699C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F5104B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CF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F5104B" w14:paraId="63E107D2" w14:textId="77777777" w:rsidTr="00543897">
        <w:trPr>
          <w:trHeight w:val="22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62F" w14:textId="4B3A3FE7" w:rsidR="00DF5E61" w:rsidRPr="00F5104B" w:rsidRDefault="00417DE6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AA" w14:textId="7EF92164" w:rsidR="00DF5E61" w:rsidRPr="00F5104B" w:rsidRDefault="001C6A86" w:rsidP="00871A3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29" w:hanging="129"/>
              <w:jc w:val="both"/>
              <w:rPr>
                <w:rFonts w:asciiTheme="majorHAnsi" w:hAnsiTheme="majorHAnsi" w:cstheme="majorHAnsi"/>
              </w:rPr>
            </w:pPr>
            <w:r w:rsidRPr="00F5104B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F5104B">
              <w:rPr>
                <w:rFonts w:asciiTheme="majorHAnsi" w:hAnsiTheme="majorHAnsi" w:cstheme="majorHAnsi"/>
              </w:rPr>
              <w:t xml:space="preserve">. </w:t>
            </w:r>
            <w:r w:rsidRPr="00F5104B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F5104B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F5104B">
              <w:rPr>
                <w:rFonts w:asciiTheme="majorHAnsi" w:hAnsiTheme="majorHAnsi" w:cstheme="majorHAnsi"/>
                <w:b/>
                <w:bCs/>
              </w:rPr>
              <w:t>)</w:t>
            </w:r>
            <w:r w:rsidR="00247E77" w:rsidRPr="00F510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47E77" w:rsidRPr="00F5104B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70" w14:textId="77777777" w:rsidR="00DF5E61" w:rsidRPr="00F5104B" w:rsidRDefault="00DF5E61" w:rsidP="00713B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F5104B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DF5E61" w:rsidRPr="00F5104B" w14:paraId="4A51D6DE" w14:textId="77777777" w:rsidTr="00543897">
        <w:trPr>
          <w:trHeight w:val="543"/>
          <w:jc w:val="center"/>
        </w:trPr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BA" w14:textId="7777777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0" w14:textId="7777777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47F2D7E9" w14:textId="717283B7" w:rsidR="00DF5E61" w:rsidRPr="00F5104B" w:rsidRDefault="00DF5E61" w:rsidP="0087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Pr="00F5104B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49</w:t>
            </w:r>
            <w:r w:rsidRPr="00F5104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1C6A86" w:rsidRPr="00F5104B">
              <w:rPr>
                <w:rFonts w:asciiTheme="majorHAnsi" w:hAnsiTheme="majorHAnsi" w:cstheme="majorHAnsi"/>
                <w:b/>
                <w:bCs/>
                <w:color w:val="000000"/>
              </w:rPr>
              <w:t>баллов</w:t>
            </w:r>
          </w:p>
        </w:tc>
      </w:tr>
      <w:tr w:rsidR="00DF5E61" w:rsidRPr="00F5104B" w14:paraId="484B71B4" w14:textId="77777777" w:rsidTr="00543897">
        <w:trPr>
          <w:trHeight w:val="12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CD897" w14:textId="77777777" w:rsidR="00DF5E61" w:rsidRPr="00F5104B" w:rsidRDefault="00DF5E61" w:rsidP="00D6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1FDFFCF" w14:textId="77777777" w:rsidR="00DF5E61" w:rsidRPr="00F5104B" w:rsidRDefault="00DF5E61" w:rsidP="00D6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F5104B">
              <w:rPr>
                <w:rFonts w:asciiTheme="majorHAnsi" w:hAnsiTheme="majorHAnsi" w:cstheme="majorHAnsi"/>
              </w:rPr>
              <w:t>Только кандидаты, набравшие минимум 49 баллов по техническому предложению, будут рассматриваться для финансовой оценки.</w:t>
            </w:r>
          </w:p>
        </w:tc>
      </w:tr>
    </w:tbl>
    <w:p w14:paraId="4B1FD0F8" w14:textId="1693658C" w:rsidR="00DF5E61" w:rsidRDefault="00DF5E61" w:rsidP="00676BF2">
      <w:pPr>
        <w:rPr>
          <w:rFonts w:asciiTheme="majorHAnsi" w:hAnsiTheme="majorHAnsi" w:cstheme="majorHAnsi"/>
        </w:rPr>
      </w:pPr>
    </w:p>
    <w:p w14:paraId="2FAB77C3" w14:textId="601E4DC1" w:rsidR="00D15447" w:rsidRDefault="00D15447" w:rsidP="00676BF2">
      <w:pPr>
        <w:rPr>
          <w:rFonts w:asciiTheme="majorHAnsi" w:hAnsiTheme="majorHAnsi" w:cstheme="majorHAnsi"/>
        </w:rPr>
      </w:pPr>
    </w:p>
    <w:p w14:paraId="0599BDC2" w14:textId="76116A61" w:rsidR="00D15447" w:rsidRDefault="00D15447" w:rsidP="00676BF2">
      <w:pPr>
        <w:rPr>
          <w:rFonts w:asciiTheme="majorHAnsi" w:hAnsiTheme="majorHAnsi" w:cstheme="majorHAnsi"/>
        </w:rPr>
      </w:pPr>
    </w:p>
    <w:p w14:paraId="152B0034" w14:textId="2DB39333" w:rsidR="00D15447" w:rsidRDefault="00D15447" w:rsidP="00676BF2">
      <w:pPr>
        <w:rPr>
          <w:rFonts w:asciiTheme="majorHAnsi" w:hAnsiTheme="majorHAnsi" w:cstheme="majorHAnsi"/>
        </w:rPr>
      </w:pPr>
    </w:p>
    <w:p w14:paraId="5D22C9DE" w14:textId="1AA72849" w:rsidR="00D15447" w:rsidRDefault="00D15447" w:rsidP="00676BF2">
      <w:pPr>
        <w:rPr>
          <w:rFonts w:asciiTheme="majorHAnsi" w:hAnsiTheme="majorHAnsi" w:cstheme="majorHAnsi"/>
        </w:rPr>
      </w:pPr>
    </w:p>
    <w:p w14:paraId="19C13BCF" w14:textId="25202C06" w:rsidR="00D15447" w:rsidRDefault="00D15447" w:rsidP="00676BF2">
      <w:pPr>
        <w:rPr>
          <w:rFonts w:asciiTheme="majorHAnsi" w:hAnsiTheme="majorHAnsi" w:cstheme="majorHAnsi"/>
        </w:rPr>
      </w:pPr>
    </w:p>
    <w:p w14:paraId="5E45A204" w14:textId="30656A5E" w:rsidR="00D15447" w:rsidRDefault="00D15447" w:rsidP="00676BF2">
      <w:pPr>
        <w:rPr>
          <w:rFonts w:asciiTheme="majorHAnsi" w:hAnsiTheme="majorHAnsi" w:cstheme="majorHAnsi"/>
        </w:rPr>
      </w:pPr>
    </w:p>
    <w:p w14:paraId="3DAE55BD" w14:textId="641C1956" w:rsidR="00D15447" w:rsidRDefault="00D15447" w:rsidP="00676BF2">
      <w:pPr>
        <w:rPr>
          <w:rFonts w:asciiTheme="majorHAnsi" w:hAnsiTheme="majorHAnsi" w:cstheme="majorHAnsi"/>
        </w:rPr>
      </w:pPr>
    </w:p>
    <w:p w14:paraId="2504E4BE" w14:textId="47C80119" w:rsidR="00D15447" w:rsidRDefault="00D15447" w:rsidP="00676BF2">
      <w:pPr>
        <w:rPr>
          <w:rFonts w:asciiTheme="majorHAnsi" w:hAnsiTheme="majorHAnsi" w:cstheme="majorHAnsi"/>
        </w:rPr>
      </w:pPr>
    </w:p>
    <w:p w14:paraId="5EDEFF23" w14:textId="2BEEC080" w:rsidR="00D15447" w:rsidRDefault="00D15447" w:rsidP="00676BF2">
      <w:pPr>
        <w:rPr>
          <w:rFonts w:asciiTheme="majorHAnsi" w:hAnsiTheme="majorHAnsi" w:cstheme="majorHAnsi"/>
        </w:rPr>
      </w:pPr>
    </w:p>
    <w:p w14:paraId="015BBFBA" w14:textId="37D6F227" w:rsidR="00D15447" w:rsidRDefault="00D15447" w:rsidP="00676BF2">
      <w:pPr>
        <w:rPr>
          <w:rFonts w:asciiTheme="majorHAnsi" w:hAnsiTheme="majorHAnsi" w:cstheme="majorHAnsi"/>
        </w:rPr>
      </w:pPr>
    </w:p>
    <w:p w14:paraId="4C1482C2" w14:textId="49E92172" w:rsidR="00D15447" w:rsidRDefault="00D15447" w:rsidP="00676BF2">
      <w:pPr>
        <w:rPr>
          <w:rFonts w:asciiTheme="majorHAnsi" w:hAnsiTheme="majorHAnsi" w:cstheme="majorHAnsi"/>
        </w:rPr>
      </w:pPr>
    </w:p>
    <w:p w14:paraId="0FB4EB82" w14:textId="2ABB8C94" w:rsidR="00D15447" w:rsidRDefault="00D15447" w:rsidP="00676BF2">
      <w:pPr>
        <w:rPr>
          <w:rFonts w:asciiTheme="majorHAnsi" w:hAnsiTheme="majorHAnsi" w:cstheme="majorHAnsi"/>
        </w:rPr>
      </w:pPr>
    </w:p>
    <w:p w14:paraId="780CE600" w14:textId="21E07ED8" w:rsidR="00D15447" w:rsidRDefault="00D15447" w:rsidP="00676BF2">
      <w:pPr>
        <w:rPr>
          <w:rFonts w:asciiTheme="majorHAnsi" w:hAnsiTheme="majorHAnsi" w:cstheme="majorHAnsi"/>
        </w:rPr>
      </w:pPr>
    </w:p>
    <w:p w14:paraId="3C6EED3A" w14:textId="068F8BDC" w:rsidR="00D15447" w:rsidRDefault="00D15447" w:rsidP="00676BF2">
      <w:pPr>
        <w:rPr>
          <w:rFonts w:asciiTheme="majorHAnsi" w:hAnsiTheme="majorHAnsi" w:cstheme="majorHAnsi"/>
        </w:rPr>
      </w:pPr>
    </w:p>
    <w:p w14:paraId="4BF53CD4" w14:textId="1A2B7CEA" w:rsidR="00D15447" w:rsidRDefault="00D15447" w:rsidP="00676BF2">
      <w:pPr>
        <w:rPr>
          <w:rFonts w:asciiTheme="majorHAnsi" w:hAnsiTheme="majorHAnsi" w:cstheme="majorHAnsi"/>
        </w:rPr>
      </w:pPr>
    </w:p>
    <w:p w14:paraId="1163E611" w14:textId="407DD179" w:rsidR="00D15447" w:rsidRDefault="00D15447" w:rsidP="00676BF2">
      <w:pPr>
        <w:rPr>
          <w:rFonts w:asciiTheme="majorHAnsi" w:hAnsiTheme="majorHAnsi" w:cstheme="majorHAnsi"/>
        </w:rPr>
      </w:pPr>
    </w:p>
    <w:p w14:paraId="51B4AAE8" w14:textId="77777777" w:rsidR="00D15447" w:rsidRDefault="00D15447" w:rsidP="00D15447"/>
    <w:p w14:paraId="1B0D7062" w14:textId="77777777" w:rsidR="00D15447" w:rsidRDefault="00D15447" w:rsidP="00D15447"/>
    <w:p w14:paraId="6D9D1ADE" w14:textId="77777777" w:rsidR="00D15447" w:rsidRDefault="00D15447" w:rsidP="00D15447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3F1CAA7D" w14:textId="77777777" w:rsidR="00D15447" w:rsidRPr="000F482B" w:rsidRDefault="00D15447" w:rsidP="00D15447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  <w:r>
        <w:rPr>
          <w:rStyle w:val="ae"/>
          <w:rFonts w:ascii="Arial" w:hAnsi="Arial" w:cs="Arial"/>
          <w:b/>
          <w:color w:val="000000"/>
          <w:sz w:val="20"/>
          <w:szCs w:val="20"/>
          <w:lang w:eastAsia="en-PH"/>
        </w:rPr>
        <w:footnoteReference w:id="1"/>
      </w:r>
    </w:p>
    <w:p w14:paraId="49C5505B" w14:textId="77777777" w:rsidR="00D15447" w:rsidRPr="007C1898" w:rsidRDefault="00D15447" w:rsidP="00D15447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31A88FD2" w14:textId="77777777" w:rsidR="00D15447" w:rsidRPr="000F482B" w:rsidRDefault="00D15447" w:rsidP="00D15447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2AA2402F" w14:textId="77777777" w:rsidR="00D15447" w:rsidRPr="00030B0F" w:rsidRDefault="00D15447" w:rsidP="00D15447">
      <w:pPr>
        <w:pStyle w:val="a4"/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D15447" w:rsidRPr="000F482B" w14:paraId="336AF0BB" w14:textId="77777777" w:rsidTr="00943CBE">
        <w:trPr>
          <w:trHeight w:val="683"/>
        </w:trPr>
        <w:tc>
          <w:tcPr>
            <w:tcW w:w="3599" w:type="dxa"/>
          </w:tcPr>
          <w:p w14:paraId="2D851D32" w14:textId="77777777" w:rsidR="00D15447" w:rsidRPr="000F482B" w:rsidRDefault="00D15447" w:rsidP="00943CBE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66BDE400" w14:textId="77777777" w:rsidR="00D15447" w:rsidRPr="00E2127F" w:rsidRDefault="00D15447" w:rsidP="00943CBE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1DE0AFDD" w14:textId="77777777" w:rsidR="00D15447" w:rsidRPr="000F482B" w:rsidRDefault="00D15447" w:rsidP="00943CBE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4FC77F49" w14:textId="77777777" w:rsidR="00D15447" w:rsidRPr="00E2127F" w:rsidRDefault="00D15447" w:rsidP="00943CBE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D15447" w:rsidRPr="000F482B" w14:paraId="682DE5D6" w14:textId="77777777" w:rsidTr="00943CBE">
        <w:tc>
          <w:tcPr>
            <w:tcW w:w="3599" w:type="dxa"/>
          </w:tcPr>
          <w:p w14:paraId="28A20E47" w14:textId="77777777" w:rsidR="00D15447" w:rsidRPr="000F482B" w:rsidRDefault="00D15447" w:rsidP="00D1544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6C0A7330" w14:textId="77777777" w:rsidR="00D15447" w:rsidRPr="009A4B28" w:rsidRDefault="00D15447" w:rsidP="00943CBE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67F1D785" w14:textId="77777777" w:rsidR="00D15447" w:rsidRPr="009A4B28" w:rsidRDefault="00D15447" w:rsidP="00943CBE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43E5F67D" w14:textId="77777777" w:rsidR="00D15447" w:rsidRPr="009A4B28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15447" w:rsidRPr="000F482B" w14:paraId="7EB16DD8" w14:textId="77777777" w:rsidTr="00943CBE">
        <w:tc>
          <w:tcPr>
            <w:tcW w:w="3599" w:type="dxa"/>
          </w:tcPr>
          <w:p w14:paraId="43D72712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3002BFB2" w14:textId="77777777" w:rsidR="00D15447" w:rsidRPr="00D907C4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7480E78D" w14:textId="77777777" w:rsidR="00D15447" w:rsidRPr="009A4B28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10400EE7" w14:textId="77777777" w:rsidR="00D15447" w:rsidRPr="009A4B28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04885F01" w14:textId="77777777" w:rsidR="00D15447" w:rsidRPr="009A4B28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15447" w:rsidRPr="000F482B" w14:paraId="3D1EE55E" w14:textId="77777777" w:rsidTr="00943CBE">
        <w:tc>
          <w:tcPr>
            <w:tcW w:w="3599" w:type="dxa"/>
          </w:tcPr>
          <w:p w14:paraId="77CFF86B" w14:textId="77777777" w:rsidR="00D15447" w:rsidRPr="002B5D33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8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007A11F1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60F01C5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8C3DDBF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15447" w:rsidRPr="000F482B" w14:paraId="6A3CEFD2" w14:textId="77777777" w:rsidTr="00943CBE">
        <w:tc>
          <w:tcPr>
            <w:tcW w:w="3599" w:type="dxa"/>
          </w:tcPr>
          <w:p w14:paraId="65522016" w14:textId="77777777" w:rsidR="00D15447" w:rsidRPr="00BF7B25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1AA5DD23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82145D4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F80C61B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15447" w:rsidRPr="000F482B" w14:paraId="3A201282" w14:textId="77777777" w:rsidTr="00943CBE">
        <w:tc>
          <w:tcPr>
            <w:tcW w:w="3599" w:type="dxa"/>
          </w:tcPr>
          <w:p w14:paraId="3EC9285A" w14:textId="77777777" w:rsidR="00D15447" w:rsidRPr="00A25EE5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461DCF19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09EDA16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92135F6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15447" w:rsidRPr="000F482B" w14:paraId="78E16785" w14:textId="77777777" w:rsidTr="00943CBE">
        <w:tc>
          <w:tcPr>
            <w:tcW w:w="3599" w:type="dxa"/>
          </w:tcPr>
          <w:p w14:paraId="7B72D8FE" w14:textId="77777777" w:rsidR="00D15447" w:rsidRPr="00A25EE5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7FFB8B52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01CBD26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9915E75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15447" w:rsidRPr="000F482B" w14:paraId="7967BF57" w14:textId="77777777" w:rsidTr="00943CBE">
        <w:tc>
          <w:tcPr>
            <w:tcW w:w="3599" w:type="dxa"/>
          </w:tcPr>
          <w:p w14:paraId="7A4D6248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05C065DC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1106C95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E226ACB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15447" w:rsidRPr="000F482B" w14:paraId="1B05232A" w14:textId="77777777" w:rsidTr="00943CBE">
        <w:tc>
          <w:tcPr>
            <w:tcW w:w="3599" w:type="dxa"/>
          </w:tcPr>
          <w:p w14:paraId="1C246564" w14:textId="77777777" w:rsidR="00D15447" w:rsidRPr="00A25EE5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3B527FAD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6F8DB39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3FF0F91" w14:textId="77777777" w:rsidR="00D15447" w:rsidRPr="000F482B" w:rsidRDefault="00D15447" w:rsidP="00943CBE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F22D4E8" w14:textId="77777777" w:rsidR="00D15447" w:rsidRPr="000F482B" w:rsidRDefault="00D15447" w:rsidP="00D15447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64E892B" w14:textId="77777777" w:rsidR="00D15447" w:rsidRPr="00030B0F" w:rsidRDefault="00D15447" w:rsidP="00D15447">
      <w:pPr>
        <w:pStyle w:val="a4"/>
        <w:widowControl w:val="0"/>
        <w:numPr>
          <w:ilvl w:val="0"/>
          <w:numId w:val="45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6DF11BFF" w14:textId="77777777" w:rsidR="00D15447" w:rsidRPr="000F482B" w:rsidRDefault="00D15447" w:rsidP="00D15447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D15447" w:rsidRPr="000F482B" w14:paraId="0B38F73F" w14:textId="77777777" w:rsidTr="00943CBE">
        <w:tc>
          <w:tcPr>
            <w:tcW w:w="3675" w:type="dxa"/>
          </w:tcPr>
          <w:p w14:paraId="55CBFC9F" w14:textId="77777777" w:rsidR="00D15447" w:rsidRPr="000F482B" w:rsidRDefault="00D15447" w:rsidP="00943C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0DA74AB0" w14:textId="77777777" w:rsidR="00D15447" w:rsidRPr="000F482B" w:rsidRDefault="00D15447" w:rsidP="00943CB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65E8FD21" w14:textId="77777777" w:rsidR="00D15447" w:rsidRPr="000F482B" w:rsidRDefault="00D15447" w:rsidP="00943C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3643C7DC" w14:textId="77777777" w:rsidR="00D15447" w:rsidRPr="000F482B" w:rsidRDefault="00D15447" w:rsidP="00943C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615719D6" w14:textId="77777777" w:rsidR="00D15447" w:rsidRPr="000F482B" w:rsidRDefault="00D15447" w:rsidP="00943C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65871B8E" w14:textId="77777777" w:rsidR="00D15447" w:rsidRPr="000F482B" w:rsidRDefault="00D15447" w:rsidP="00943CB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D15447" w:rsidRPr="000F482B" w14:paraId="0CC220B1" w14:textId="77777777" w:rsidTr="00943CBE">
        <w:tc>
          <w:tcPr>
            <w:tcW w:w="3675" w:type="dxa"/>
          </w:tcPr>
          <w:p w14:paraId="2371EB81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4646F81" w14:textId="77777777" w:rsidR="00D15447" w:rsidRPr="007C1898" w:rsidRDefault="00D15447" w:rsidP="00943CBE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7C16982D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09D90145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65125E8C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15447" w:rsidRPr="000F482B" w14:paraId="2EFA87EB" w14:textId="77777777" w:rsidTr="00943CBE">
        <w:tc>
          <w:tcPr>
            <w:tcW w:w="3675" w:type="dxa"/>
          </w:tcPr>
          <w:p w14:paraId="0E6CD522" w14:textId="77777777" w:rsidR="00D15447" w:rsidRPr="007C1898" w:rsidRDefault="00D15447" w:rsidP="00943CBE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003940FD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2F7ECFE6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15447" w:rsidRPr="000F482B" w14:paraId="2E02B96E" w14:textId="77777777" w:rsidTr="00943CBE">
        <w:tc>
          <w:tcPr>
            <w:tcW w:w="3675" w:type="dxa"/>
          </w:tcPr>
          <w:p w14:paraId="5C3D10AB" w14:textId="77777777" w:rsidR="00D15447" w:rsidRPr="007C1898" w:rsidRDefault="00D15447" w:rsidP="00943CBE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2DB56935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2391DE1D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15447" w:rsidRPr="000F482B" w14:paraId="603A21C0" w14:textId="77777777" w:rsidTr="00943CBE">
        <w:tc>
          <w:tcPr>
            <w:tcW w:w="3675" w:type="dxa"/>
          </w:tcPr>
          <w:p w14:paraId="399081F6" w14:textId="77777777" w:rsidR="00D15447" w:rsidRPr="001E0B0F" w:rsidRDefault="00D15447" w:rsidP="00943CBE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77D67B67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7A4911BB" w14:textId="77777777" w:rsidR="00D15447" w:rsidRPr="009A4B28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D15447" w:rsidRPr="000F482B" w14:paraId="59D445DE" w14:textId="77777777" w:rsidTr="00943CBE">
        <w:tc>
          <w:tcPr>
            <w:tcW w:w="3675" w:type="dxa"/>
          </w:tcPr>
          <w:p w14:paraId="312DB577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41977397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6A3A4E21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D15447" w:rsidRPr="000F482B" w14:paraId="48D4E143" w14:textId="77777777" w:rsidTr="00943CBE">
        <w:tc>
          <w:tcPr>
            <w:tcW w:w="3675" w:type="dxa"/>
          </w:tcPr>
          <w:p w14:paraId="3F89357B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0DD595BD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55DE3645" w14:textId="77777777" w:rsidR="00D15447" w:rsidRPr="000F482B" w:rsidRDefault="00D15447" w:rsidP="00943CBE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9D2AC45" w14:textId="77777777" w:rsidR="00D15447" w:rsidRPr="000F482B" w:rsidRDefault="00D15447" w:rsidP="00D15447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</w:p>
    <w:p w14:paraId="0FBB50D8" w14:textId="77777777" w:rsidR="00D15447" w:rsidRPr="00F5104B" w:rsidRDefault="00D15447" w:rsidP="00676BF2">
      <w:pPr>
        <w:rPr>
          <w:rFonts w:asciiTheme="majorHAnsi" w:hAnsiTheme="majorHAnsi" w:cstheme="majorHAnsi"/>
        </w:rPr>
      </w:pPr>
    </w:p>
    <w:sectPr w:rsidR="00D15447" w:rsidRPr="00F5104B" w:rsidSect="005438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AA0B" w14:textId="77777777" w:rsidR="00B94C77" w:rsidRDefault="00B94C77" w:rsidP="00D15447">
      <w:pPr>
        <w:spacing w:after="0" w:line="240" w:lineRule="auto"/>
      </w:pPr>
      <w:r>
        <w:separator/>
      </w:r>
    </w:p>
  </w:endnote>
  <w:endnote w:type="continuationSeparator" w:id="0">
    <w:p w14:paraId="132FCF46" w14:textId="77777777" w:rsidR="00B94C77" w:rsidRDefault="00B94C77" w:rsidP="00D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7CF0" w14:textId="77777777" w:rsidR="00B94C77" w:rsidRDefault="00B94C77" w:rsidP="00D15447">
      <w:pPr>
        <w:spacing w:after="0" w:line="240" w:lineRule="auto"/>
      </w:pPr>
      <w:r>
        <w:separator/>
      </w:r>
    </w:p>
  </w:footnote>
  <w:footnote w:type="continuationSeparator" w:id="0">
    <w:p w14:paraId="5F710F6B" w14:textId="77777777" w:rsidR="00B94C77" w:rsidRDefault="00B94C77" w:rsidP="00D15447">
      <w:pPr>
        <w:spacing w:after="0" w:line="240" w:lineRule="auto"/>
      </w:pPr>
      <w:r>
        <w:continuationSeparator/>
      </w:r>
    </w:p>
  </w:footnote>
  <w:footnote w:id="1">
    <w:p w14:paraId="1227A03F" w14:textId="77777777" w:rsidR="00D15447" w:rsidRPr="007C01FC" w:rsidRDefault="00D15447" w:rsidP="00D15447">
      <w:pPr>
        <w:pStyle w:val="ac"/>
      </w:pPr>
      <w:r>
        <w:rPr>
          <w:rStyle w:val="ae"/>
        </w:rPr>
        <w:footnoteRef/>
      </w:r>
      <w:r>
        <w:t>Затраты должны покрывать только требования, указанные в Техническом задании (ТЗ).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5A7"/>
    <w:multiLevelType w:val="hybridMultilevel"/>
    <w:tmpl w:val="AF84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720F"/>
    <w:multiLevelType w:val="hybridMultilevel"/>
    <w:tmpl w:val="F4EA71A6"/>
    <w:lvl w:ilvl="0" w:tplc="D1F67F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675"/>
    <w:multiLevelType w:val="hybridMultilevel"/>
    <w:tmpl w:val="3E443C6E"/>
    <w:lvl w:ilvl="0" w:tplc="D4C2A8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0E9F"/>
    <w:multiLevelType w:val="hybridMultilevel"/>
    <w:tmpl w:val="56BAA3A6"/>
    <w:lvl w:ilvl="0" w:tplc="E8D23F14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5FB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634"/>
    <w:multiLevelType w:val="hybridMultilevel"/>
    <w:tmpl w:val="60586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412"/>
    <w:multiLevelType w:val="hybridMultilevel"/>
    <w:tmpl w:val="B492E976"/>
    <w:lvl w:ilvl="0" w:tplc="D9008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1427"/>
    <w:multiLevelType w:val="multilevel"/>
    <w:tmpl w:val="A3E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D7944"/>
    <w:multiLevelType w:val="hybridMultilevel"/>
    <w:tmpl w:val="0892071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2F10331B"/>
    <w:multiLevelType w:val="hybridMultilevel"/>
    <w:tmpl w:val="BA36343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33921A85"/>
    <w:multiLevelType w:val="hybridMultilevel"/>
    <w:tmpl w:val="1DD8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4484"/>
    <w:multiLevelType w:val="hybridMultilevel"/>
    <w:tmpl w:val="65B4042A"/>
    <w:lvl w:ilvl="0" w:tplc="3884757A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286C"/>
    <w:multiLevelType w:val="hybridMultilevel"/>
    <w:tmpl w:val="BFC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E6082"/>
    <w:multiLevelType w:val="hybridMultilevel"/>
    <w:tmpl w:val="2D86C2E0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59BD"/>
    <w:multiLevelType w:val="hybridMultilevel"/>
    <w:tmpl w:val="0B6C8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4275B"/>
    <w:multiLevelType w:val="hybridMultilevel"/>
    <w:tmpl w:val="2F4024CA"/>
    <w:lvl w:ilvl="0" w:tplc="E8D23F14">
      <w:start w:val="1"/>
      <w:numFmt w:val="bullet"/>
      <w:lvlText w:val="·"/>
      <w:lvlJc w:val="left"/>
      <w:pPr>
        <w:ind w:left="862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EA31A75"/>
    <w:multiLevelType w:val="hybridMultilevel"/>
    <w:tmpl w:val="9A9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F9C"/>
    <w:multiLevelType w:val="hybridMultilevel"/>
    <w:tmpl w:val="C556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70F49"/>
    <w:multiLevelType w:val="hybridMultilevel"/>
    <w:tmpl w:val="43C0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4157F"/>
    <w:multiLevelType w:val="hybridMultilevel"/>
    <w:tmpl w:val="AF82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35F15"/>
    <w:multiLevelType w:val="hybridMultilevel"/>
    <w:tmpl w:val="62B43038"/>
    <w:lvl w:ilvl="0" w:tplc="32847C5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82A79B8"/>
    <w:multiLevelType w:val="hybridMultilevel"/>
    <w:tmpl w:val="B36A863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9" w15:restartNumberingAfterBreak="0">
    <w:nsid w:val="5A623846"/>
    <w:multiLevelType w:val="hybridMultilevel"/>
    <w:tmpl w:val="88545EA0"/>
    <w:lvl w:ilvl="0" w:tplc="E8D23F14">
      <w:start w:val="1"/>
      <w:numFmt w:val="bullet"/>
      <w:lvlText w:val="·"/>
      <w:lvlJc w:val="left"/>
      <w:pPr>
        <w:ind w:left="927" w:hanging="360"/>
      </w:pPr>
      <w:rPr>
        <w:rFonts w:ascii="Arial Black" w:hAnsi="Arial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28E5"/>
    <w:multiLevelType w:val="hybridMultilevel"/>
    <w:tmpl w:val="15A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F6EE2"/>
    <w:multiLevelType w:val="hybridMultilevel"/>
    <w:tmpl w:val="5CAC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33A1A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213F7"/>
    <w:multiLevelType w:val="hybridMultilevel"/>
    <w:tmpl w:val="44C6DF04"/>
    <w:lvl w:ilvl="0" w:tplc="E8D23F14">
      <w:start w:val="1"/>
      <w:numFmt w:val="bullet"/>
      <w:lvlText w:val="·"/>
      <w:lvlJc w:val="left"/>
      <w:pPr>
        <w:ind w:left="502" w:hanging="360"/>
      </w:pPr>
      <w:rPr>
        <w:rFonts w:ascii="Arial Black" w:hAnsi="Arial Black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E673B3F"/>
    <w:multiLevelType w:val="hybridMultilevel"/>
    <w:tmpl w:val="EA9E6E92"/>
    <w:lvl w:ilvl="0" w:tplc="2BAE372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E96014"/>
    <w:multiLevelType w:val="hybridMultilevel"/>
    <w:tmpl w:val="570C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65F90"/>
    <w:multiLevelType w:val="hybridMultilevel"/>
    <w:tmpl w:val="3E44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6380B"/>
    <w:multiLevelType w:val="multilevel"/>
    <w:tmpl w:val="62A0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9857B0"/>
    <w:multiLevelType w:val="hybridMultilevel"/>
    <w:tmpl w:val="5FE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CB2E60"/>
    <w:multiLevelType w:val="hybridMultilevel"/>
    <w:tmpl w:val="B8B0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88790">
    <w:abstractNumId w:val="32"/>
  </w:num>
  <w:num w:numId="2" w16cid:durableId="1317026412">
    <w:abstractNumId w:val="23"/>
  </w:num>
  <w:num w:numId="3" w16cid:durableId="231234084">
    <w:abstractNumId w:val="29"/>
  </w:num>
  <w:num w:numId="4" w16cid:durableId="1263807075">
    <w:abstractNumId w:val="16"/>
  </w:num>
  <w:num w:numId="5" w16cid:durableId="1648778153">
    <w:abstractNumId w:val="4"/>
  </w:num>
  <w:num w:numId="6" w16cid:durableId="586959548">
    <w:abstractNumId w:val="34"/>
  </w:num>
  <w:num w:numId="7" w16cid:durableId="289748478">
    <w:abstractNumId w:val="19"/>
  </w:num>
  <w:num w:numId="8" w16cid:durableId="524368108">
    <w:abstractNumId w:val="8"/>
  </w:num>
  <w:num w:numId="9" w16cid:durableId="1870605983">
    <w:abstractNumId w:val="39"/>
  </w:num>
  <w:num w:numId="10" w16cid:durableId="2107113840">
    <w:abstractNumId w:val="12"/>
  </w:num>
  <w:num w:numId="11" w16cid:durableId="932932004">
    <w:abstractNumId w:val="1"/>
  </w:num>
  <w:num w:numId="12" w16cid:durableId="191307358">
    <w:abstractNumId w:val="37"/>
  </w:num>
  <w:num w:numId="13" w16cid:durableId="583953526">
    <w:abstractNumId w:val="30"/>
  </w:num>
  <w:num w:numId="14" w16cid:durableId="965769996">
    <w:abstractNumId w:val="15"/>
  </w:num>
  <w:num w:numId="15" w16cid:durableId="1682125490">
    <w:abstractNumId w:val="7"/>
  </w:num>
  <w:num w:numId="16" w16cid:durableId="2038847540">
    <w:abstractNumId w:val="3"/>
  </w:num>
  <w:num w:numId="17" w16cid:durableId="619535910">
    <w:abstractNumId w:val="6"/>
  </w:num>
  <w:num w:numId="18" w16cid:durableId="348724711">
    <w:abstractNumId w:val="41"/>
  </w:num>
  <w:num w:numId="19" w16cid:durableId="1306471619">
    <w:abstractNumId w:val="25"/>
  </w:num>
  <w:num w:numId="20" w16cid:durableId="878905691">
    <w:abstractNumId w:val="18"/>
  </w:num>
  <w:num w:numId="21" w16cid:durableId="806900974">
    <w:abstractNumId w:val="12"/>
  </w:num>
  <w:num w:numId="22" w16cid:durableId="562645323">
    <w:abstractNumId w:val="12"/>
  </w:num>
  <w:num w:numId="23" w16cid:durableId="1083064755">
    <w:abstractNumId w:val="24"/>
  </w:num>
  <w:num w:numId="24" w16cid:durableId="1678531984">
    <w:abstractNumId w:val="40"/>
  </w:num>
  <w:num w:numId="25" w16cid:durableId="1881167055">
    <w:abstractNumId w:val="0"/>
  </w:num>
  <w:num w:numId="26" w16cid:durableId="354962494">
    <w:abstractNumId w:val="14"/>
  </w:num>
  <w:num w:numId="27" w16cid:durableId="134302330">
    <w:abstractNumId w:val="31"/>
  </w:num>
  <w:num w:numId="28" w16cid:durableId="1948803956">
    <w:abstractNumId w:val="10"/>
  </w:num>
  <w:num w:numId="29" w16cid:durableId="127943339">
    <w:abstractNumId w:val="28"/>
  </w:num>
  <w:num w:numId="30" w16cid:durableId="1984306194">
    <w:abstractNumId w:val="2"/>
  </w:num>
  <w:num w:numId="31" w16cid:durableId="1527600109">
    <w:abstractNumId w:val="27"/>
  </w:num>
  <w:num w:numId="32" w16cid:durableId="1385055976">
    <w:abstractNumId w:val="22"/>
  </w:num>
  <w:num w:numId="33" w16cid:durableId="1934898002">
    <w:abstractNumId w:val="35"/>
  </w:num>
  <w:num w:numId="34" w16cid:durableId="2062436028">
    <w:abstractNumId w:val="5"/>
  </w:num>
  <w:num w:numId="35" w16cid:durableId="1777824703">
    <w:abstractNumId w:val="11"/>
  </w:num>
  <w:num w:numId="36" w16cid:durableId="1191525333">
    <w:abstractNumId w:val="33"/>
  </w:num>
  <w:num w:numId="37" w16cid:durableId="772021541">
    <w:abstractNumId w:val="21"/>
  </w:num>
  <w:num w:numId="38" w16cid:durableId="1512065670">
    <w:abstractNumId w:val="38"/>
  </w:num>
  <w:num w:numId="39" w16cid:durableId="1413819573">
    <w:abstractNumId w:val="26"/>
  </w:num>
  <w:num w:numId="40" w16cid:durableId="1112938129">
    <w:abstractNumId w:val="42"/>
  </w:num>
  <w:num w:numId="41" w16cid:durableId="133988231">
    <w:abstractNumId w:val="9"/>
  </w:num>
  <w:num w:numId="42" w16cid:durableId="450514940">
    <w:abstractNumId w:val="13"/>
  </w:num>
  <w:num w:numId="43" w16cid:durableId="20667597">
    <w:abstractNumId w:val="36"/>
  </w:num>
  <w:num w:numId="44" w16cid:durableId="2127190409">
    <w:abstractNumId w:val="17"/>
  </w:num>
  <w:num w:numId="45" w16cid:durableId="3442146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0304B"/>
    <w:rsid w:val="000104A6"/>
    <w:rsid w:val="00014584"/>
    <w:rsid w:val="00015D9C"/>
    <w:rsid w:val="00017D17"/>
    <w:rsid w:val="00030F3E"/>
    <w:rsid w:val="00040C7B"/>
    <w:rsid w:val="0004585B"/>
    <w:rsid w:val="0004681D"/>
    <w:rsid w:val="0005462A"/>
    <w:rsid w:val="000615D2"/>
    <w:rsid w:val="0006353E"/>
    <w:rsid w:val="0009223B"/>
    <w:rsid w:val="00096CD9"/>
    <w:rsid w:val="000A1913"/>
    <w:rsid w:val="000A3D36"/>
    <w:rsid w:val="000B6008"/>
    <w:rsid w:val="000D73DC"/>
    <w:rsid w:val="000E42B8"/>
    <w:rsid w:val="000E4721"/>
    <w:rsid w:val="000E5B4D"/>
    <w:rsid w:val="000F67AD"/>
    <w:rsid w:val="000F760F"/>
    <w:rsid w:val="00100B29"/>
    <w:rsid w:val="00100B2C"/>
    <w:rsid w:val="001041B0"/>
    <w:rsid w:val="00110824"/>
    <w:rsid w:val="001168C8"/>
    <w:rsid w:val="00121E41"/>
    <w:rsid w:val="00124A27"/>
    <w:rsid w:val="00125012"/>
    <w:rsid w:val="00130622"/>
    <w:rsid w:val="00135BDB"/>
    <w:rsid w:val="00155751"/>
    <w:rsid w:val="00163C29"/>
    <w:rsid w:val="00177BC7"/>
    <w:rsid w:val="001827FC"/>
    <w:rsid w:val="00184922"/>
    <w:rsid w:val="001870D8"/>
    <w:rsid w:val="001A293D"/>
    <w:rsid w:val="001B0F92"/>
    <w:rsid w:val="001B3FE8"/>
    <w:rsid w:val="001C6A86"/>
    <w:rsid w:val="001D2001"/>
    <w:rsid w:val="001E1264"/>
    <w:rsid w:val="001E13FC"/>
    <w:rsid w:val="001E51EF"/>
    <w:rsid w:val="001F1DFD"/>
    <w:rsid w:val="001F5A77"/>
    <w:rsid w:val="00204246"/>
    <w:rsid w:val="0021609E"/>
    <w:rsid w:val="00216E00"/>
    <w:rsid w:val="00220E45"/>
    <w:rsid w:val="00222159"/>
    <w:rsid w:val="002359C1"/>
    <w:rsid w:val="00235DB3"/>
    <w:rsid w:val="0024194F"/>
    <w:rsid w:val="00246376"/>
    <w:rsid w:val="00247E77"/>
    <w:rsid w:val="00251343"/>
    <w:rsid w:val="002735DA"/>
    <w:rsid w:val="00283271"/>
    <w:rsid w:val="0029163C"/>
    <w:rsid w:val="002A2D6A"/>
    <w:rsid w:val="002C17EF"/>
    <w:rsid w:val="002C372F"/>
    <w:rsid w:val="002D0CD8"/>
    <w:rsid w:val="002E7C1C"/>
    <w:rsid w:val="002F14E9"/>
    <w:rsid w:val="002F573B"/>
    <w:rsid w:val="00305CB6"/>
    <w:rsid w:val="00314061"/>
    <w:rsid w:val="00315359"/>
    <w:rsid w:val="00326F37"/>
    <w:rsid w:val="00340F1E"/>
    <w:rsid w:val="00347069"/>
    <w:rsid w:val="00357B30"/>
    <w:rsid w:val="003666D5"/>
    <w:rsid w:val="00370A15"/>
    <w:rsid w:val="003760DD"/>
    <w:rsid w:val="0038167F"/>
    <w:rsid w:val="00383038"/>
    <w:rsid w:val="00391B1C"/>
    <w:rsid w:val="003A0582"/>
    <w:rsid w:val="003A2510"/>
    <w:rsid w:val="003B32EE"/>
    <w:rsid w:val="003C456A"/>
    <w:rsid w:val="003D5EE9"/>
    <w:rsid w:val="003F6B77"/>
    <w:rsid w:val="00417DE6"/>
    <w:rsid w:val="0042019E"/>
    <w:rsid w:val="00423C82"/>
    <w:rsid w:val="004305D6"/>
    <w:rsid w:val="00434AFD"/>
    <w:rsid w:val="004510C3"/>
    <w:rsid w:val="004518AF"/>
    <w:rsid w:val="00467CB5"/>
    <w:rsid w:val="0047113C"/>
    <w:rsid w:val="00481343"/>
    <w:rsid w:val="004919DF"/>
    <w:rsid w:val="004944E7"/>
    <w:rsid w:val="00494F50"/>
    <w:rsid w:val="004A3C0D"/>
    <w:rsid w:val="004C1142"/>
    <w:rsid w:val="004C2E30"/>
    <w:rsid w:val="004C6F7C"/>
    <w:rsid w:val="004C785C"/>
    <w:rsid w:val="004D630B"/>
    <w:rsid w:val="004E0A08"/>
    <w:rsid w:val="004E3EB3"/>
    <w:rsid w:val="004F1323"/>
    <w:rsid w:val="004F1677"/>
    <w:rsid w:val="004F34CA"/>
    <w:rsid w:val="004F45A2"/>
    <w:rsid w:val="004F7A39"/>
    <w:rsid w:val="004F7EAE"/>
    <w:rsid w:val="0050638B"/>
    <w:rsid w:val="00517429"/>
    <w:rsid w:val="00517768"/>
    <w:rsid w:val="0053152C"/>
    <w:rsid w:val="00543897"/>
    <w:rsid w:val="0057050E"/>
    <w:rsid w:val="005724D0"/>
    <w:rsid w:val="00574F5F"/>
    <w:rsid w:val="00592EC2"/>
    <w:rsid w:val="00593D52"/>
    <w:rsid w:val="005A607E"/>
    <w:rsid w:val="005A6481"/>
    <w:rsid w:val="005A71C6"/>
    <w:rsid w:val="005C138C"/>
    <w:rsid w:val="005C49B6"/>
    <w:rsid w:val="005D0353"/>
    <w:rsid w:val="005F5C4F"/>
    <w:rsid w:val="005F6631"/>
    <w:rsid w:val="00600B46"/>
    <w:rsid w:val="00602B4C"/>
    <w:rsid w:val="0060724A"/>
    <w:rsid w:val="00613882"/>
    <w:rsid w:val="006203A0"/>
    <w:rsid w:val="0062681B"/>
    <w:rsid w:val="00634C44"/>
    <w:rsid w:val="006358A1"/>
    <w:rsid w:val="00637147"/>
    <w:rsid w:val="0064196C"/>
    <w:rsid w:val="006610E4"/>
    <w:rsid w:val="00662AAC"/>
    <w:rsid w:val="00676BF2"/>
    <w:rsid w:val="00685013"/>
    <w:rsid w:val="0069302E"/>
    <w:rsid w:val="006A6A3C"/>
    <w:rsid w:val="006B4701"/>
    <w:rsid w:val="006C479D"/>
    <w:rsid w:val="006E0984"/>
    <w:rsid w:val="006E3956"/>
    <w:rsid w:val="006E68C3"/>
    <w:rsid w:val="006E6A71"/>
    <w:rsid w:val="006F67AA"/>
    <w:rsid w:val="006F731D"/>
    <w:rsid w:val="00700C41"/>
    <w:rsid w:val="007030BF"/>
    <w:rsid w:val="0070446A"/>
    <w:rsid w:val="007055F1"/>
    <w:rsid w:val="007171FC"/>
    <w:rsid w:val="00717C6D"/>
    <w:rsid w:val="00721C76"/>
    <w:rsid w:val="00732767"/>
    <w:rsid w:val="00740FA3"/>
    <w:rsid w:val="007415F5"/>
    <w:rsid w:val="00741A19"/>
    <w:rsid w:val="00750ABE"/>
    <w:rsid w:val="00784BD8"/>
    <w:rsid w:val="00795CAD"/>
    <w:rsid w:val="007B22DA"/>
    <w:rsid w:val="007B7653"/>
    <w:rsid w:val="007E1123"/>
    <w:rsid w:val="007E4378"/>
    <w:rsid w:val="007F275A"/>
    <w:rsid w:val="007F5E67"/>
    <w:rsid w:val="00800155"/>
    <w:rsid w:val="00812FED"/>
    <w:rsid w:val="00816F01"/>
    <w:rsid w:val="00825952"/>
    <w:rsid w:val="00830213"/>
    <w:rsid w:val="00830C82"/>
    <w:rsid w:val="00853363"/>
    <w:rsid w:val="00867E7A"/>
    <w:rsid w:val="00871A3B"/>
    <w:rsid w:val="008802EA"/>
    <w:rsid w:val="0088037E"/>
    <w:rsid w:val="00882F2B"/>
    <w:rsid w:val="00892655"/>
    <w:rsid w:val="008A31F1"/>
    <w:rsid w:val="008A7C4E"/>
    <w:rsid w:val="008B7616"/>
    <w:rsid w:val="008D02FA"/>
    <w:rsid w:val="008D666D"/>
    <w:rsid w:val="008E3531"/>
    <w:rsid w:val="008E3E47"/>
    <w:rsid w:val="008F0A10"/>
    <w:rsid w:val="008F4AD0"/>
    <w:rsid w:val="008F5C2D"/>
    <w:rsid w:val="009047C2"/>
    <w:rsid w:val="00910478"/>
    <w:rsid w:val="00912935"/>
    <w:rsid w:val="00916307"/>
    <w:rsid w:val="00925C86"/>
    <w:rsid w:val="0095450E"/>
    <w:rsid w:val="00964154"/>
    <w:rsid w:val="00966165"/>
    <w:rsid w:val="009669F0"/>
    <w:rsid w:val="0098176A"/>
    <w:rsid w:val="00983D4D"/>
    <w:rsid w:val="00990BF6"/>
    <w:rsid w:val="009B1AE0"/>
    <w:rsid w:val="009B5B0D"/>
    <w:rsid w:val="009B6959"/>
    <w:rsid w:val="009B7B65"/>
    <w:rsid w:val="009D1895"/>
    <w:rsid w:val="009F21D0"/>
    <w:rsid w:val="00A06DB2"/>
    <w:rsid w:val="00A36D77"/>
    <w:rsid w:val="00A636FE"/>
    <w:rsid w:val="00A7223A"/>
    <w:rsid w:val="00A80DDD"/>
    <w:rsid w:val="00A8644B"/>
    <w:rsid w:val="00A9760E"/>
    <w:rsid w:val="00AB4AB6"/>
    <w:rsid w:val="00AB6D8F"/>
    <w:rsid w:val="00AB7D3F"/>
    <w:rsid w:val="00AC0BEF"/>
    <w:rsid w:val="00AC75F7"/>
    <w:rsid w:val="00AD4A3D"/>
    <w:rsid w:val="00AE3C42"/>
    <w:rsid w:val="00AF2F89"/>
    <w:rsid w:val="00AF5386"/>
    <w:rsid w:val="00B055CE"/>
    <w:rsid w:val="00B10962"/>
    <w:rsid w:val="00B12053"/>
    <w:rsid w:val="00B20324"/>
    <w:rsid w:val="00B25A23"/>
    <w:rsid w:val="00B401DE"/>
    <w:rsid w:val="00B45166"/>
    <w:rsid w:val="00B468B1"/>
    <w:rsid w:val="00B53D4E"/>
    <w:rsid w:val="00B61955"/>
    <w:rsid w:val="00B80C5F"/>
    <w:rsid w:val="00B81AB0"/>
    <w:rsid w:val="00B823F1"/>
    <w:rsid w:val="00B83572"/>
    <w:rsid w:val="00B94C77"/>
    <w:rsid w:val="00BA0579"/>
    <w:rsid w:val="00BB2708"/>
    <w:rsid w:val="00BB69E8"/>
    <w:rsid w:val="00BB7DDA"/>
    <w:rsid w:val="00BC7046"/>
    <w:rsid w:val="00BD2F99"/>
    <w:rsid w:val="00BD5667"/>
    <w:rsid w:val="00BE1DDA"/>
    <w:rsid w:val="00BE68F3"/>
    <w:rsid w:val="00BF20EB"/>
    <w:rsid w:val="00C03913"/>
    <w:rsid w:val="00C051FC"/>
    <w:rsid w:val="00C13B7F"/>
    <w:rsid w:val="00C13C39"/>
    <w:rsid w:val="00C17592"/>
    <w:rsid w:val="00C25631"/>
    <w:rsid w:val="00C3401F"/>
    <w:rsid w:val="00C42A13"/>
    <w:rsid w:val="00C507D2"/>
    <w:rsid w:val="00C535F8"/>
    <w:rsid w:val="00C571F5"/>
    <w:rsid w:val="00C70F2E"/>
    <w:rsid w:val="00C870AA"/>
    <w:rsid w:val="00C9098A"/>
    <w:rsid w:val="00C93B87"/>
    <w:rsid w:val="00CB4653"/>
    <w:rsid w:val="00CB629F"/>
    <w:rsid w:val="00CC788E"/>
    <w:rsid w:val="00CF0B81"/>
    <w:rsid w:val="00CF1062"/>
    <w:rsid w:val="00D038DF"/>
    <w:rsid w:val="00D03B9D"/>
    <w:rsid w:val="00D11503"/>
    <w:rsid w:val="00D15447"/>
    <w:rsid w:val="00D22E6F"/>
    <w:rsid w:val="00D252CA"/>
    <w:rsid w:val="00D27635"/>
    <w:rsid w:val="00D27AB1"/>
    <w:rsid w:val="00D304F4"/>
    <w:rsid w:val="00D424DB"/>
    <w:rsid w:val="00D52777"/>
    <w:rsid w:val="00D52B95"/>
    <w:rsid w:val="00D65E1C"/>
    <w:rsid w:val="00D76D9B"/>
    <w:rsid w:val="00D8085E"/>
    <w:rsid w:val="00DA541A"/>
    <w:rsid w:val="00DB07AA"/>
    <w:rsid w:val="00DB2865"/>
    <w:rsid w:val="00DC397E"/>
    <w:rsid w:val="00DC7134"/>
    <w:rsid w:val="00DD014A"/>
    <w:rsid w:val="00DD507A"/>
    <w:rsid w:val="00DE1856"/>
    <w:rsid w:val="00DE2344"/>
    <w:rsid w:val="00DE308C"/>
    <w:rsid w:val="00DE6FBA"/>
    <w:rsid w:val="00DF178D"/>
    <w:rsid w:val="00DF5E61"/>
    <w:rsid w:val="00DF7AF5"/>
    <w:rsid w:val="00E02003"/>
    <w:rsid w:val="00E13559"/>
    <w:rsid w:val="00E221BA"/>
    <w:rsid w:val="00E23215"/>
    <w:rsid w:val="00E44E82"/>
    <w:rsid w:val="00E5025F"/>
    <w:rsid w:val="00E50ACD"/>
    <w:rsid w:val="00E568B9"/>
    <w:rsid w:val="00E61FB1"/>
    <w:rsid w:val="00E74900"/>
    <w:rsid w:val="00E74C8B"/>
    <w:rsid w:val="00E8248C"/>
    <w:rsid w:val="00E928A2"/>
    <w:rsid w:val="00E94C72"/>
    <w:rsid w:val="00EA1FC2"/>
    <w:rsid w:val="00EB3115"/>
    <w:rsid w:val="00EB36DA"/>
    <w:rsid w:val="00EB37D9"/>
    <w:rsid w:val="00EC2FC5"/>
    <w:rsid w:val="00ED77EF"/>
    <w:rsid w:val="00EE1764"/>
    <w:rsid w:val="00EE6127"/>
    <w:rsid w:val="00EE7674"/>
    <w:rsid w:val="00EF1DB3"/>
    <w:rsid w:val="00EF6435"/>
    <w:rsid w:val="00F01539"/>
    <w:rsid w:val="00F03E13"/>
    <w:rsid w:val="00F04FD3"/>
    <w:rsid w:val="00F04FE6"/>
    <w:rsid w:val="00F16E50"/>
    <w:rsid w:val="00F21A9E"/>
    <w:rsid w:val="00F23C3A"/>
    <w:rsid w:val="00F3650B"/>
    <w:rsid w:val="00F36831"/>
    <w:rsid w:val="00F4315B"/>
    <w:rsid w:val="00F46642"/>
    <w:rsid w:val="00F5104B"/>
    <w:rsid w:val="00F551ED"/>
    <w:rsid w:val="00F62242"/>
    <w:rsid w:val="00F72FB2"/>
    <w:rsid w:val="00FA0E96"/>
    <w:rsid w:val="00FA1C59"/>
    <w:rsid w:val="00FB4C42"/>
    <w:rsid w:val="00FC695F"/>
    <w:rsid w:val="00FE29ED"/>
    <w:rsid w:val="00FE6C2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33C5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DC"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character" w:customStyle="1" w:styleId="2">
    <w:name w:val="Основной текст (2)_"/>
    <w:basedOn w:val="a0"/>
    <w:link w:val="21"/>
    <w:rsid w:val="006E0984"/>
    <w:rPr>
      <w:rFonts w:ascii="Segoe UI" w:eastAsia="Segoe UI" w:hAnsi="Segoe UI" w:cs="Segoe UI"/>
      <w:b/>
      <w:bCs/>
      <w:spacing w:val="-20"/>
      <w:sz w:val="32"/>
      <w:szCs w:val="32"/>
      <w:shd w:val="clear" w:color="auto" w:fill="FFFFFF"/>
    </w:rPr>
  </w:style>
  <w:style w:type="character" w:customStyle="1" w:styleId="aa">
    <w:name w:val="Основной текст_"/>
    <w:basedOn w:val="a0"/>
    <w:link w:val="20"/>
    <w:rsid w:val="006E098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6E098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E098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pacing w:val="-20"/>
      <w:sz w:val="32"/>
      <w:szCs w:val="32"/>
    </w:rPr>
  </w:style>
  <w:style w:type="paragraph" w:customStyle="1" w:styleId="20">
    <w:name w:val="Основной текст20"/>
    <w:basedOn w:val="a"/>
    <w:link w:val="aa"/>
    <w:rsid w:val="006E0984"/>
    <w:pPr>
      <w:widowControl w:val="0"/>
      <w:shd w:val="clear" w:color="auto" w:fill="FFFFFF"/>
      <w:spacing w:after="120" w:line="0" w:lineRule="atLeast"/>
      <w:ind w:hanging="1920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UNDPProdocparagraph">
    <w:name w:val="UNDP Prodoc paragraph"/>
    <w:basedOn w:val="a"/>
    <w:qFormat/>
    <w:rsid w:val="00E221BA"/>
    <w:pPr>
      <w:numPr>
        <w:numId w:val="10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styleId="ab">
    <w:name w:val="Hyperlink"/>
    <w:basedOn w:val="a0"/>
    <w:uiPriority w:val="99"/>
    <w:unhideWhenUsed/>
    <w:rsid w:val="00DF5E61"/>
    <w:rPr>
      <w:color w:val="0563C1" w:themeColor="hyperlink"/>
      <w:u w:val="single"/>
    </w:rPr>
  </w:style>
  <w:style w:type="character" w:customStyle="1" w:styleId="atendertext1">
    <w:name w:val="a_tender_text1"/>
    <w:rsid w:val="00DF5E61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0145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D15447"/>
    <w:pPr>
      <w:spacing w:after="0" w:line="240" w:lineRule="auto"/>
    </w:pPr>
    <w:rPr>
      <w:sz w:val="20"/>
      <w:szCs w:val="20"/>
      <w:lang w:val="ru"/>
    </w:rPr>
  </w:style>
  <w:style w:type="character" w:customStyle="1" w:styleId="ad">
    <w:name w:val="Текст сноски Знак"/>
    <w:basedOn w:val="a0"/>
    <w:link w:val="ac"/>
    <w:uiPriority w:val="99"/>
    <w:semiHidden/>
    <w:rsid w:val="00D15447"/>
    <w:rPr>
      <w:sz w:val="20"/>
      <w:szCs w:val="20"/>
      <w:lang w:val="ru"/>
    </w:rPr>
  </w:style>
  <w:style w:type="character" w:styleId="ae">
    <w:name w:val="footnote reference"/>
    <w:basedOn w:val="a0"/>
    <w:uiPriority w:val="99"/>
    <w:semiHidden/>
    <w:unhideWhenUsed/>
    <w:rsid w:val="00D1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3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6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72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0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43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2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163</cp:revision>
  <cp:lastPrinted>2018-04-09T08:57:00Z</cp:lastPrinted>
  <dcterms:created xsi:type="dcterms:W3CDTF">2017-01-23T06:39:00Z</dcterms:created>
  <dcterms:modified xsi:type="dcterms:W3CDTF">2024-08-30T04:35:00Z</dcterms:modified>
</cp:coreProperties>
</file>