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8A4EA1" w:rsidRDefault="00314061" w:rsidP="00314061">
      <w:pPr>
        <w:jc w:val="center"/>
        <w:rPr>
          <w:rFonts w:asciiTheme="majorHAnsi" w:hAnsiTheme="majorHAnsi" w:cstheme="majorHAnsi"/>
          <w:b/>
        </w:rPr>
      </w:pPr>
      <w:r w:rsidRPr="008A4EA1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4"/>
        <w:gridCol w:w="6614"/>
      </w:tblGrid>
      <w:tr w:rsidR="00314061" w:rsidRPr="008A4EA1" w14:paraId="446DDB75" w14:textId="77777777" w:rsidTr="009C0605">
        <w:tc>
          <w:tcPr>
            <w:tcW w:w="5000" w:type="pct"/>
            <w:gridSpan w:val="2"/>
          </w:tcPr>
          <w:p w14:paraId="70172EDE" w14:textId="2B5116A5" w:rsidR="00314061" w:rsidRPr="008A4EA1" w:rsidRDefault="00314061" w:rsidP="00D32F97">
            <w:pPr>
              <w:pStyle w:val="a4"/>
              <w:numPr>
                <w:ilvl w:val="0"/>
                <w:numId w:val="15"/>
              </w:numPr>
              <w:ind w:left="447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8A4EA1" w14:paraId="2C142CE6" w14:textId="77777777" w:rsidTr="009C0605">
        <w:tc>
          <w:tcPr>
            <w:tcW w:w="1565" w:type="pct"/>
          </w:tcPr>
          <w:p w14:paraId="4588E50E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3435" w:type="pct"/>
          </w:tcPr>
          <w:p w14:paraId="2FC823DA" w14:textId="1E2699B9" w:rsidR="00314061" w:rsidRPr="00183851" w:rsidRDefault="00183851" w:rsidP="00D8085E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183851">
              <w:rPr>
                <w:rFonts w:asciiTheme="majorHAnsi" w:hAnsiTheme="majorHAnsi" w:cstheme="majorHAnsi"/>
                <w:noProof/>
              </w:rPr>
              <w:t>Национальный эксперт по землепользованию и демаркации границ</w:t>
            </w:r>
          </w:p>
        </w:tc>
      </w:tr>
      <w:tr w:rsidR="00314061" w:rsidRPr="008A4EA1" w14:paraId="4EAD26D1" w14:textId="77777777" w:rsidTr="009C0605">
        <w:tc>
          <w:tcPr>
            <w:tcW w:w="1565" w:type="pct"/>
          </w:tcPr>
          <w:p w14:paraId="1D0B5111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3435" w:type="pct"/>
          </w:tcPr>
          <w:p w14:paraId="5631C706" w14:textId="257368BD" w:rsidR="00314061" w:rsidRPr="008A4EA1" w:rsidRDefault="00314061" w:rsidP="00A06DB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8A4EA1">
              <w:rPr>
                <w:rFonts w:asciiTheme="majorHAnsi" w:hAnsiTheme="majorHAnsi" w:cstheme="majorHAnsi"/>
                <w:noProof/>
              </w:rPr>
              <w:t>«</w:t>
            </w:r>
            <w:r w:rsidR="00B92F53"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8A4EA1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8A4EA1" w14:paraId="28E195ED" w14:textId="77777777" w:rsidTr="009C0605">
        <w:tc>
          <w:tcPr>
            <w:tcW w:w="1565" w:type="pct"/>
          </w:tcPr>
          <w:p w14:paraId="63B70082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3435" w:type="pct"/>
          </w:tcPr>
          <w:p w14:paraId="6A8C6ED3" w14:textId="77777777" w:rsidR="0040039E" w:rsidRPr="00193CEF" w:rsidRDefault="0040039E" w:rsidP="0040039E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28849335" w:rsidR="00685013" w:rsidRPr="008A4EA1" w:rsidRDefault="0040039E" w:rsidP="0040039E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55D7E">
              <w:rPr>
                <w:rFonts w:ascii="Calibri Light" w:hAnsi="Calibri Light" w:cs="Calibri Light"/>
                <w:b/>
              </w:rPr>
              <w:t>Результат 2.1: Разработаны карты землепользования высокого разрешения для 7 охраняемых территорий и буферных зон, охватывающие 157 671 га, и проведен анализ конфликтов землепользования.</w:t>
            </w:r>
          </w:p>
        </w:tc>
      </w:tr>
      <w:tr w:rsidR="00314061" w:rsidRPr="008A4EA1" w14:paraId="769F0F13" w14:textId="77777777" w:rsidTr="009C0605">
        <w:tc>
          <w:tcPr>
            <w:tcW w:w="1565" w:type="pct"/>
          </w:tcPr>
          <w:p w14:paraId="71416EC0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3435" w:type="pct"/>
          </w:tcPr>
          <w:p w14:paraId="7642AACA" w14:textId="301CBBA2" w:rsidR="00314061" w:rsidRPr="008A4EA1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8A4EA1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8A4EA1" w14:paraId="65F02F91" w14:textId="77777777" w:rsidTr="009C0605">
        <w:tc>
          <w:tcPr>
            <w:tcW w:w="1565" w:type="pct"/>
          </w:tcPr>
          <w:p w14:paraId="4F124A4E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3435" w:type="pct"/>
          </w:tcPr>
          <w:p w14:paraId="0BB97CAA" w14:textId="3CA962C7" w:rsidR="00314061" w:rsidRPr="008A4EA1" w:rsidRDefault="00AA6009" w:rsidP="00D8085E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noProof/>
              </w:rPr>
              <w:t>20</w:t>
            </w:r>
            <w:r w:rsidRPr="00F72FB2">
              <w:rPr>
                <w:rFonts w:asciiTheme="majorHAnsi" w:hAnsiTheme="majorHAnsi" w:cstheme="majorHAnsi"/>
                <w:noProof/>
              </w:rPr>
              <w:t xml:space="preserve"> месяц</w:t>
            </w:r>
            <w:r>
              <w:rPr>
                <w:rFonts w:asciiTheme="majorHAnsi" w:hAnsiTheme="majorHAnsi" w:cstheme="majorHAnsi"/>
                <w:noProof/>
              </w:rPr>
              <w:t xml:space="preserve">ев </w:t>
            </w:r>
            <w:r w:rsidRPr="00550BB0">
              <w:rPr>
                <w:rFonts w:asciiTheme="majorHAnsi" w:hAnsiTheme="majorHAnsi" w:cstheme="majorHAnsi"/>
                <w:noProof/>
              </w:rPr>
              <w:t>(с последующим продлением)</w:t>
            </w:r>
          </w:p>
        </w:tc>
      </w:tr>
      <w:tr w:rsidR="00314061" w:rsidRPr="008A4EA1" w14:paraId="5394CF9D" w14:textId="77777777" w:rsidTr="009C0605">
        <w:tc>
          <w:tcPr>
            <w:tcW w:w="1565" w:type="pct"/>
          </w:tcPr>
          <w:p w14:paraId="4A5DB527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3435" w:type="pct"/>
          </w:tcPr>
          <w:p w14:paraId="07FB6D17" w14:textId="77777777" w:rsidR="00314061" w:rsidRPr="008A4EA1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8A4EA1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8A4EA1" w14:paraId="55808B2E" w14:textId="77777777" w:rsidTr="009C0605">
        <w:tc>
          <w:tcPr>
            <w:tcW w:w="1565" w:type="pct"/>
          </w:tcPr>
          <w:p w14:paraId="0EEDA616" w14:textId="77777777" w:rsidR="00314061" w:rsidRPr="008A4EA1" w:rsidRDefault="00314061" w:rsidP="00314061">
            <w:pPr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3435" w:type="pct"/>
          </w:tcPr>
          <w:p w14:paraId="5D88B429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60747577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6ECB37A2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05224727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0F105C0B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01A7C04E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1B892D8E" w14:textId="77777777" w:rsidR="00EA02F3" w:rsidRPr="00EE1402" w:rsidRDefault="00EA02F3" w:rsidP="00EA02F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4E094A9F" w14:textId="78A5636C" w:rsidR="00314061" w:rsidRPr="008A4EA1" w:rsidRDefault="00EA02F3" w:rsidP="00EA02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8A4EA1" w:rsidRDefault="00314061" w:rsidP="00B6508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8A4EA1" w14:paraId="4337DDA5" w14:textId="77777777" w:rsidTr="009C0605">
        <w:trPr>
          <w:jc w:val="center"/>
        </w:trPr>
        <w:tc>
          <w:tcPr>
            <w:tcW w:w="5000" w:type="pct"/>
          </w:tcPr>
          <w:p w14:paraId="1D75973E" w14:textId="687BD6AA" w:rsidR="00314061" w:rsidRPr="008A4EA1" w:rsidRDefault="00314061" w:rsidP="00D32F97">
            <w:pPr>
              <w:pStyle w:val="a4"/>
              <w:numPr>
                <w:ilvl w:val="0"/>
                <w:numId w:val="15"/>
              </w:numPr>
              <w:ind w:left="447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314061" w:rsidRPr="008A4EA1" w14:paraId="3AA3D4B4" w14:textId="77777777" w:rsidTr="009C0605">
        <w:trPr>
          <w:jc w:val="center"/>
        </w:trPr>
        <w:tc>
          <w:tcPr>
            <w:tcW w:w="5000" w:type="pct"/>
          </w:tcPr>
          <w:p w14:paraId="7DA501BE" w14:textId="77777777" w:rsidR="008A4EA1" w:rsidRPr="008A4EA1" w:rsidRDefault="008A4EA1" w:rsidP="008A4EA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A4EA1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8A4EA1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8A4EA1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8A4EA1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8A4EA1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E40E48A" w14:textId="77777777" w:rsidR="008A4EA1" w:rsidRPr="008A4EA1" w:rsidRDefault="008A4EA1" w:rsidP="008A4EA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8A4EA1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5A8C4831" w14:textId="2D10467A" w:rsidR="008A4EA1" w:rsidRPr="008A4EA1" w:rsidRDefault="008A4EA1" w:rsidP="008A4EA1">
            <w:pPr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8A4EA1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52BA5345" w14:textId="77777777" w:rsidR="008A4EA1" w:rsidRPr="008A4EA1" w:rsidRDefault="008A4EA1" w:rsidP="008A4EA1">
            <w:pPr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8A4EA1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5119653E" w:rsidR="001F1DFD" w:rsidRPr="008A4EA1" w:rsidRDefault="008A4EA1" w:rsidP="008A4EA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8A4EA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8A4EA1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8A4EA1" w:rsidRDefault="00314061" w:rsidP="00B6508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8A4EA1" w14:paraId="5BB3857C" w14:textId="77777777" w:rsidTr="009C0605">
        <w:trPr>
          <w:jc w:val="center"/>
        </w:trPr>
        <w:tc>
          <w:tcPr>
            <w:tcW w:w="5000" w:type="pct"/>
          </w:tcPr>
          <w:p w14:paraId="08E887EF" w14:textId="6F3870DE" w:rsidR="00314061" w:rsidRPr="008A4EA1" w:rsidRDefault="00314061" w:rsidP="00D32F97">
            <w:pPr>
              <w:pStyle w:val="a4"/>
              <w:numPr>
                <w:ilvl w:val="0"/>
                <w:numId w:val="15"/>
              </w:numPr>
              <w:ind w:left="447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8A4EA1" w14:paraId="6406B9A7" w14:textId="77777777" w:rsidTr="009C0605">
        <w:trPr>
          <w:jc w:val="center"/>
        </w:trPr>
        <w:tc>
          <w:tcPr>
            <w:tcW w:w="5000" w:type="pct"/>
          </w:tcPr>
          <w:p w14:paraId="1114BF97" w14:textId="2C2FB4C5" w:rsidR="00314061" w:rsidRPr="00DE7896" w:rsidRDefault="00DE7896" w:rsidP="00D8085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О</w:t>
            </w:r>
            <w:r w:rsidR="00A36D77" w:rsidRPr="008A4EA1">
              <w:rPr>
                <w:rFonts w:asciiTheme="majorHAnsi" w:hAnsiTheme="majorHAnsi" w:cstheme="majorHAnsi"/>
              </w:rPr>
              <w:t>ценк</w:t>
            </w:r>
            <w:r>
              <w:rPr>
                <w:rFonts w:asciiTheme="majorHAnsi" w:hAnsiTheme="majorHAnsi" w:cstheme="majorHAnsi"/>
              </w:rPr>
              <w:t>а</w:t>
            </w:r>
            <w:r w:rsidR="00A36D77" w:rsidRPr="008A4EA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вопросов землепользования особо охраняемых природных территорий и прилегающих к ним участков, определение их границ, подготовка соответствующих регламентирующих документов по определению и устойчивому управлению.</w:t>
            </w:r>
          </w:p>
        </w:tc>
      </w:tr>
    </w:tbl>
    <w:p w14:paraId="710D258A" w14:textId="77777777" w:rsidR="00314061" w:rsidRPr="008A4EA1" w:rsidRDefault="00314061" w:rsidP="00314061">
      <w:pPr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8A4EA1" w14:paraId="06D5EE8D" w14:textId="77777777" w:rsidTr="009C0605">
        <w:tc>
          <w:tcPr>
            <w:tcW w:w="5000" w:type="pct"/>
          </w:tcPr>
          <w:p w14:paraId="2066123A" w14:textId="419159ED" w:rsidR="00314061" w:rsidRPr="008A4EA1" w:rsidRDefault="00314061" w:rsidP="00D32F97">
            <w:pPr>
              <w:pStyle w:val="a4"/>
              <w:numPr>
                <w:ilvl w:val="0"/>
                <w:numId w:val="15"/>
              </w:numPr>
              <w:ind w:left="447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314061" w:rsidRPr="008A4EA1" w14:paraId="5419F955" w14:textId="77777777" w:rsidTr="009C0605">
        <w:tc>
          <w:tcPr>
            <w:tcW w:w="5000" w:type="pct"/>
          </w:tcPr>
          <w:p w14:paraId="582D4288" w14:textId="336EE315" w:rsidR="00314061" w:rsidRPr="00265773" w:rsidRDefault="00C051FC" w:rsidP="00A36D77">
            <w:pPr>
              <w:jc w:val="both"/>
              <w:rPr>
                <w:rFonts w:asciiTheme="majorHAnsi" w:hAnsiTheme="majorHAnsi" w:cstheme="majorHAnsi"/>
                <w:noProof/>
                <w:lang w:val="en-US"/>
              </w:rPr>
            </w:pPr>
            <w:r w:rsidRPr="008A4EA1">
              <w:rPr>
                <w:rFonts w:asciiTheme="majorHAnsi" w:hAnsiTheme="majorHAnsi" w:cstheme="majorHAnsi"/>
              </w:rPr>
              <w:t>Под</w:t>
            </w:r>
            <w:r w:rsidR="00A36D77" w:rsidRPr="008A4EA1">
              <w:rPr>
                <w:rFonts w:asciiTheme="majorHAnsi" w:hAnsiTheme="majorHAnsi" w:cstheme="majorHAnsi"/>
              </w:rPr>
              <w:t xml:space="preserve"> </w:t>
            </w:r>
            <w:r w:rsidRPr="008A4EA1">
              <w:rPr>
                <w:rFonts w:asciiTheme="majorHAnsi" w:hAnsiTheme="majorHAnsi" w:cstheme="majorHAnsi"/>
              </w:rPr>
              <w:t>общим</w:t>
            </w:r>
            <w:r w:rsidR="00A36D77" w:rsidRPr="008A4EA1">
              <w:rPr>
                <w:rFonts w:asciiTheme="majorHAnsi" w:hAnsiTheme="majorHAnsi" w:cstheme="majorHAnsi"/>
              </w:rPr>
              <w:t xml:space="preserve"> </w:t>
            </w:r>
            <w:r w:rsidRPr="008A4EA1">
              <w:rPr>
                <w:rFonts w:asciiTheme="majorHAnsi" w:hAnsiTheme="majorHAnsi" w:cstheme="majorHAnsi"/>
              </w:rPr>
              <w:t>руководством</w:t>
            </w:r>
            <w:r w:rsidR="00A36D77" w:rsidRPr="008A4EA1">
              <w:rPr>
                <w:rFonts w:asciiTheme="majorHAnsi" w:hAnsiTheme="majorHAnsi" w:cstheme="majorHAnsi"/>
              </w:rPr>
              <w:t xml:space="preserve"> </w:t>
            </w:r>
            <w:r w:rsidRPr="008A4EA1">
              <w:rPr>
                <w:rFonts w:asciiTheme="majorHAnsi" w:hAnsiTheme="majorHAnsi" w:cstheme="majorHAnsi"/>
              </w:rPr>
              <w:t>менеджера</w:t>
            </w:r>
            <w:r w:rsidR="00A36D77" w:rsidRPr="008A4EA1">
              <w:rPr>
                <w:rFonts w:asciiTheme="majorHAnsi" w:hAnsiTheme="majorHAnsi" w:cstheme="majorHAnsi"/>
              </w:rPr>
              <w:t xml:space="preserve"> и координатора </w:t>
            </w:r>
            <w:r w:rsidRPr="008A4EA1">
              <w:rPr>
                <w:rFonts w:asciiTheme="majorHAnsi" w:hAnsiTheme="majorHAnsi" w:cstheme="majorHAnsi"/>
              </w:rPr>
              <w:t>проекта</w:t>
            </w:r>
            <w:r w:rsidR="00A36D77" w:rsidRPr="008A4EA1">
              <w:rPr>
                <w:rFonts w:asciiTheme="majorHAnsi" w:hAnsiTheme="majorHAnsi" w:cstheme="majorHAnsi"/>
              </w:rPr>
              <w:t xml:space="preserve"> нац</w:t>
            </w:r>
            <w:r w:rsidR="00FE6C22" w:rsidRPr="008A4EA1">
              <w:rPr>
                <w:rFonts w:asciiTheme="majorHAnsi" w:hAnsiTheme="majorHAnsi" w:cstheme="majorHAnsi"/>
                <w:noProof/>
              </w:rPr>
              <w:t xml:space="preserve">иональный </w:t>
            </w:r>
            <w:r w:rsidR="00D8085E" w:rsidRPr="008A4EA1">
              <w:rPr>
                <w:rFonts w:asciiTheme="majorHAnsi" w:hAnsiTheme="majorHAnsi" w:cstheme="majorHAnsi"/>
                <w:noProof/>
              </w:rPr>
              <w:t xml:space="preserve">эксперт по </w:t>
            </w:r>
            <w:r w:rsidR="00DE7896">
              <w:rPr>
                <w:rFonts w:asciiTheme="majorHAnsi" w:hAnsiTheme="majorHAnsi" w:cstheme="majorHAnsi"/>
                <w:noProof/>
              </w:rPr>
              <w:t>землепользованию и определению границ</w:t>
            </w:r>
            <w:r w:rsidR="00A36D77" w:rsidRPr="008A4EA1">
              <w:rPr>
                <w:rFonts w:asciiTheme="majorHAnsi" w:hAnsiTheme="majorHAnsi" w:cstheme="majorHAnsi"/>
                <w:noProof/>
              </w:rPr>
              <w:t xml:space="preserve"> </w:t>
            </w:r>
            <w:r w:rsidR="00265773" w:rsidRPr="00993424">
              <w:rPr>
                <w:rFonts w:ascii="Calibri Light" w:hAnsi="Calibri Light" w:cs="Calibri Light"/>
              </w:rPr>
              <w:t>проектны</w:t>
            </w:r>
            <w:r w:rsidR="00265773">
              <w:rPr>
                <w:rFonts w:ascii="Calibri Light" w:hAnsi="Calibri Light" w:cs="Calibri Light"/>
              </w:rPr>
              <w:t>х</w:t>
            </w:r>
            <w:r w:rsidR="00265773" w:rsidRPr="00993424">
              <w:rPr>
                <w:rFonts w:ascii="Calibri Light" w:hAnsi="Calibri Light" w:cs="Calibri Light"/>
              </w:rPr>
              <w:t xml:space="preserve"> территори</w:t>
            </w:r>
            <w:r w:rsidR="00265773">
              <w:rPr>
                <w:rFonts w:ascii="Calibri Light" w:hAnsi="Calibri Light" w:cs="Calibri Light"/>
              </w:rPr>
              <w:t>й</w:t>
            </w:r>
            <w:r w:rsidR="00265773" w:rsidRPr="00193CEF">
              <w:rPr>
                <w:rFonts w:ascii="Calibri Light" w:hAnsi="Calibri Light" w:cs="Calibri Light"/>
              </w:rPr>
              <w:t xml:space="preserve"> </w:t>
            </w:r>
            <w:r w:rsidR="00265773" w:rsidRPr="00EE1402">
              <w:rPr>
                <w:rFonts w:ascii="Calibri Light" w:hAnsi="Calibri Light" w:cs="Calibri Light"/>
              </w:rPr>
              <w:t>(7 ООПТ национального уровня площадью 157 671 га</w:t>
            </w:r>
            <w:r w:rsidR="00265773">
              <w:rPr>
                <w:rFonts w:ascii="Calibri Light" w:hAnsi="Calibri Light" w:cs="Calibri Light"/>
              </w:rPr>
              <w:t xml:space="preserve">), </w:t>
            </w:r>
            <w:r w:rsidR="00D52777" w:rsidRPr="008A4EA1">
              <w:rPr>
                <w:rFonts w:asciiTheme="majorHAnsi" w:hAnsiTheme="majorHAnsi" w:cstheme="majorHAnsi"/>
                <w:noProof/>
              </w:rPr>
              <w:t>выполн</w:t>
            </w:r>
            <w:r w:rsidR="00DE7896">
              <w:rPr>
                <w:rFonts w:asciiTheme="majorHAnsi" w:hAnsiTheme="majorHAnsi" w:cstheme="majorHAnsi"/>
                <w:noProof/>
              </w:rPr>
              <w:t>яет</w:t>
            </w:r>
            <w:r w:rsidR="006A6A3C" w:rsidRPr="008A4EA1">
              <w:rPr>
                <w:rFonts w:asciiTheme="majorHAnsi" w:hAnsiTheme="majorHAnsi" w:cstheme="majorHAnsi"/>
                <w:noProof/>
              </w:rPr>
              <w:t xml:space="preserve"> </w:t>
            </w:r>
            <w:r w:rsidR="00D52777" w:rsidRPr="008A4EA1">
              <w:rPr>
                <w:rFonts w:asciiTheme="majorHAnsi" w:hAnsiTheme="majorHAnsi" w:cstheme="majorHAnsi"/>
                <w:noProof/>
              </w:rPr>
              <w:t>следующ</w:t>
            </w:r>
            <w:r w:rsidR="00784BD8" w:rsidRPr="008A4EA1">
              <w:rPr>
                <w:rFonts w:asciiTheme="majorHAnsi" w:hAnsiTheme="majorHAnsi" w:cstheme="majorHAnsi"/>
                <w:noProof/>
              </w:rPr>
              <w:t>и</w:t>
            </w:r>
            <w:r w:rsidR="00DE7896">
              <w:rPr>
                <w:rFonts w:asciiTheme="majorHAnsi" w:hAnsiTheme="majorHAnsi" w:cstheme="majorHAnsi"/>
                <w:noProof/>
              </w:rPr>
              <w:t>е</w:t>
            </w:r>
            <w:r w:rsidR="006A6A3C" w:rsidRPr="008A4EA1">
              <w:rPr>
                <w:rFonts w:asciiTheme="majorHAnsi" w:hAnsiTheme="majorHAnsi" w:cstheme="majorHAnsi"/>
                <w:noProof/>
              </w:rPr>
              <w:t xml:space="preserve"> </w:t>
            </w:r>
            <w:r w:rsidR="00D52777" w:rsidRPr="008A4EA1">
              <w:rPr>
                <w:rFonts w:asciiTheme="majorHAnsi" w:hAnsiTheme="majorHAnsi" w:cstheme="majorHAnsi"/>
                <w:noProof/>
              </w:rPr>
              <w:t>работ</w:t>
            </w:r>
            <w:r w:rsidR="00DE7896">
              <w:rPr>
                <w:rFonts w:asciiTheme="majorHAnsi" w:hAnsiTheme="majorHAnsi" w:cstheme="majorHAnsi"/>
                <w:noProof/>
              </w:rPr>
              <w:t>ы</w:t>
            </w:r>
            <w:r w:rsidR="00D52777" w:rsidRPr="008A4EA1">
              <w:rPr>
                <w:rFonts w:asciiTheme="majorHAnsi" w:hAnsiTheme="majorHAnsi" w:cstheme="majorHAnsi"/>
                <w:noProof/>
              </w:rPr>
              <w:t>:</w:t>
            </w:r>
          </w:p>
          <w:p w14:paraId="22B4A075" w14:textId="09B7FE39" w:rsidR="00B401DE" w:rsidRDefault="00DE7896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 w:rsidRPr="00EC4CC0">
              <w:rPr>
                <w:rFonts w:asciiTheme="majorHAnsi" w:hAnsiTheme="majorHAnsi" w:cstheme="majorHAnsi"/>
              </w:rPr>
              <w:t xml:space="preserve">Полевая поездка и консультации </w:t>
            </w:r>
            <w:r>
              <w:rPr>
                <w:rFonts w:asciiTheme="majorHAnsi" w:hAnsiTheme="majorHAnsi" w:cstheme="majorHAnsi"/>
              </w:rPr>
              <w:t xml:space="preserve">для согласования действий </w:t>
            </w:r>
            <w:r w:rsidRPr="00EC4CC0">
              <w:rPr>
                <w:rFonts w:asciiTheme="majorHAnsi" w:hAnsiTheme="majorHAnsi" w:cstheme="majorHAnsi"/>
              </w:rPr>
              <w:t>с местн</w:t>
            </w:r>
            <w:r>
              <w:rPr>
                <w:rFonts w:asciiTheme="majorHAnsi" w:hAnsiTheme="majorHAnsi" w:cstheme="majorHAnsi"/>
              </w:rPr>
              <w:t xml:space="preserve">ым хукуматом, </w:t>
            </w:r>
            <w:r w:rsidRPr="00EC4CC0">
              <w:rPr>
                <w:rFonts w:asciiTheme="majorHAnsi" w:hAnsiTheme="majorHAnsi" w:cstheme="majorHAnsi"/>
              </w:rPr>
              <w:t>администрацией</w:t>
            </w:r>
            <w:r>
              <w:rPr>
                <w:rFonts w:asciiTheme="majorHAnsi" w:hAnsiTheme="majorHAnsi" w:cstheme="majorHAnsi"/>
              </w:rPr>
              <w:t xml:space="preserve"> охраняемых территорий и другими землепользователями</w:t>
            </w:r>
            <w:r w:rsidR="008A4EA1">
              <w:rPr>
                <w:rFonts w:asciiTheme="majorHAnsi" w:hAnsiTheme="majorHAnsi" w:cstheme="majorHAnsi"/>
              </w:rPr>
              <w:t>;</w:t>
            </w:r>
          </w:p>
          <w:p w14:paraId="3307980A" w14:textId="2A558E6A" w:rsidR="00DE7896" w:rsidRDefault="003E0096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</w:t>
            </w:r>
            <w:r w:rsidRPr="00EC4CC0">
              <w:rPr>
                <w:rFonts w:asciiTheme="majorHAnsi" w:hAnsiTheme="majorHAnsi" w:cstheme="majorHAnsi"/>
              </w:rPr>
              <w:t xml:space="preserve">бор </w:t>
            </w:r>
            <w:r>
              <w:rPr>
                <w:rFonts w:asciiTheme="majorHAnsi" w:hAnsiTheme="majorHAnsi" w:cstheme="majorHAnsi"/>
              </w:rPr>
              <w:t xml:space="preserve">и анализ необходимых регламентирующих документов по землепользованию в </w:t>
            </w:r>
            <w:r w:rsidR="002E0BF5" w:rsidRPr="002E0BF5">
              <w:rPr>
                <w:rFonts w:asciiTheme="majorHAnsi" w:hAnsiTheme="majorHAnsi" w:cstheme="majorHAnsi"/>
              </w:rPr>
              <w:t>7 целевых юридически признанных ООПТ, включая буферные зоны и окружающее землепользование</w:t>
            </w:r>
            <w:r>
              <w:rPr>
                <w:rFonts w:asciiTheme="majorHAnsi" w:hAnsiTheme="majorHAnsi" w:cstheme="majorHAnsi"/>
              </w:rPr>
              <w:t xml:space="preserve">; </w:t>
            </w:r>
          </w:p>
          <w:p w14:paraId="33136913" w14:textId="0272EB56" w:rsidR="003E0096" w:rsidRDefault="003E0096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 w:rsidRPr="00DF695B">
              <w:rPr>
                <w:rFonts w:asciiTheme="majorHAnsi" w:hAnsiTheme="majorHAnsi" w:cstheme="majorHAnsi"/>
              </w:rPr>
              <w:t xml:space="preserve">Подготовка </w:t>
            </w:r>
            <w:r w:rsidR="00D77072">
              <w:rPr>
                <w:rFonts w:asciiTheme="majorHAnsi" w:hAnsiTheme="majorHAnsi" w:cstheme="majorHAnsi"/>
              </w:rPr>
              <w:t xml:space="preserve">информационных </w:t>
            </w:r>
            <w:r w:rsidRPr="00DF695B">
              <w:rPr>
                <w:rFonts w:asciiTheme="majorHAnsi" w:hAnsiTheme="majorHAnsi" w:cstheme="majorHAnsi"/>
              </w:rPr>
              <w:t xml:space="preserve">материалов комплексного обследования территории с целью </w:t>
            </w:r>
            <w:r>
              <w:rPr>
                <w:rFonts w:asciiTheme="majorHAnsi" w:hAnsiTheme="majorHAnsi" w:cstheme="majorHAnsi"/>
              </w:rPr>
              <w:t xml:space="preserve">определение </w:t>
            </w:r>
            <w:r w:rsidRPr="00DF695B">
              <w:rPr>
                <w:rFonts w:asciiTheme="majorHAnsi" w:hAnsiTheme="majorHAnsi" w:cstheme="majorHAnsi"/>
              </w:rPr>
              <w:t xml:space="preserve">статуса </w:t>
            </w:r>
            <w:r>
              <w:rPr>
                <w:rFonts w:asciiTheme="majorHAnsi" w:hAnsiTheme="majorHAnsi" w:cstheme="majorHAnsi"/>
              </w:rPr>
              <w:t xml:space="preserve">охраняемых территорий и </w:t>
            </w:r>
            <w:r w:rsidRPr="00DF695B">
              <w:rPr>
                <w:rFonts w:asciiTheme="majorHAnsi" w:hAnsiTheme="majorHAnsi" w:cstheme="majorHAnsi"/>
              </w:rPr>
              <w:t>подготов</w:t>
            </w:r>
            <w:r>
              <w:rPr>
                <w:rFonts w:asciiTheme="majorHAnsi" w:hAnsiTheme="majorHAnsi" w:cstheme="majorHAnsi"/>
              </w:rPr>
              <w:t>ка проекта положений по устойчивому землепользованию;</w:t>
            </w:r>
          </w:p>
          <w:p w14:paraId="02712555" w14:textId="3DC28655" w:rsidR="003E0096" w:rsidRDefault="00D77072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Обзор</w:t>
            </w:r>
            <w:r w:rsidR="003E0096" w:rsidRPr="00F52ACC">
              <w:rPr>
                <w:rFonts w:asciiTheme="majorHAnsi" w:hAnsiTheme="majorHAnsi" w:cstheme="majorHAnsi"/>
              </w:rPr>
              <w:t xml:space="preserve"> об основных землепользователях, категориях земель и реестр</w:t>
            </w:r>
            <w:r w:rsidR="003E0096">
              <w:rPr>
                <w:rFonts w:asciiTheme="majorHAnsi" w:hAnsiTheme="majorHAnsi" w:cstheme="majorHAnsi"/>
              </w:rPr>
              <w:t>а</w:t>
            </w:r>
            <w:r w:rsidR="003E0096" w:rsidRPr="00F52ACC">
              <w:rPr>
                <w:rFonts w:asciiTheme="majorHAnsi" w:hAnsiTheme="majorHAnsi" w:cstheme="majorHAnsi"/>
              </w:rPr>
              <w:t xml:space="preserve"> землепользования</w:t>
            </w:r>
            <w:r w:rsidR="003E0096">
              <w:rPr>
                <w:rFonts w:asciiTheme="majorHAnsi" w:hAnsiTheme="majorHAnsi" w:cstheme="majorHAnsi"/>
              </w:rPr>
              <w:t xml:space="preserve"> </w:t>
            </w:r>
            <w:r w:rsidR="0051213B" w:rsidRPr="0051213B">
              <w:rPr>
                <w:rFonts w:asciiTheme="majorHAnsi" w:hAnsiTheme="majorHAnsi" w:cstheme="majorHAnsi"/>
              </w:rPr>
              <w:t>7 целевых юридически признанных ООПТ, включая буферные зоны и окружающее землепользование</w:t>
            </w:r>
            <w:r w:rsidR="003E0096">
              <w:rPr>
                <w:rFonts w:asciiTheme="majorHAnsi" w:hAnsiTheme="majorHAnsi" w:cstheme="majorHAnsi"/>
              </w:rPr>
              <w:t>;</w:t>
            </w:r>
          </w:p>
          <w:p w14:paraId="59172098" w14:textId="7DACCA51" w:rsidR="00F04FD3" w:rsidRPr="008A4EA1" w:rsidRDefault="00F04FD3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Анализ влияния использования земель на окружающую среду и разработка рекомендаций по </w:t>
            </w:r>
            <w:r w:rsidR="00564B13">
              <w:rPr>
                <w:rFonts w:asciiTheme="majorHAnsi" w:hAnsiTheme="majorHAnsi" w:cstheme="majorHAnsi"/>
              </w:rPr>
              <w:t>устойчивому землепользованию</w:t>
            </w:r>
            <w:r w:rsidR="008A4EA1">
              <w:rPr>
                <w:rFonts w:asciiTheme="majorHAnsi" w:hAnsiTheme="majorHAnsi" w:cstheme="majorHAnsi"/>
              </w:rPr>
              <w:t>;</w:t>
            </w:r>
          </w:p>
          <w:p w14:paraId="5EE1168F" w14:textId="708F3F23" w:rsidR="003E0096" w:rsidRDefault="00564B13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 w:rsidRPr="00EC4CC0">
              <w:rPr>
                <w:rFonts w:asciiTheme="majorHAnsi" w:hAnsiTheme="majorHAnsi" w:cstheme="majorHAnsi"/>
              </w:rPr>
              <w:t>Разработка рекомендаций и предложений</w:t>
            </w:r>
            <w:r>
              <w:rPr>
                <w:rFonts w:asciiTheme="majorHAnsi" w:hAnsiTheme="majorHAnsi" w:cstheme="majorHAnsi"/>
              </w:rPr>
              <w:t xml:space="preserve"> совместно с группой экспертов по устойчивому землепользованию; </w:t>
            </w:r>
          </w:p>
          <w:p w14:paraId="622659C2" w14:textId="04E8CD21" w:rsidR="00B401DE" w:rsidRPr="008A4EA1" w:rsidRDefault="00D77072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Подготовка и внесение дополнения и изменений в регламентирующие нормативно-правовые документы по устойчивому землепользованию</w:t>
            </w:r>
            <w:r w:rsidR="008A4EA1">
              <w:rPr>
                <w:rFonts w:asciiTheme="majorHAnsi" w:hAnsiTheme="majorHAnsi" w:cstheme="majorHAnsi"/>
              </w:rPr>
              <w:t>;</w:t>
            </w:r>
          </w:p>
          <w:p w14:paraId="28FC5621" w14:textId="06B53C57" w:rsidR="00100B29" w:rsidRPr="008A4EA1" w:rsidRDefault="00D77072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Подготовка информационных материалов по вопросам землепользования </w:t>
            </w:r>
            <w:r w:rsidR="00B401DE" w:rsidRPr="008A4EA1">
              <w:rPr>
                <w:rFonts w:asciiTheme="majorHAnsi" w:hAnsiTheme="majorHAnsi" w:cstheme="majorHAnsi"/>
              </w:rPr>
              <w:t xml:space="preserve">и информирование </w:t>
            </w:r>
            <w:r>
              <w:rPr>
                <w:rFonts w:asciiTheme="majorHAnsi" w:hAnsiTheme="majorHAnsi" w:cstheme="majorHAnsi"/>
              </w:rPr>
              <w:t>бенефициаров и</w:t>
            </w:r>
            <w:r w:rsidR="00B401DE" w:rsidRPr="008A4EA1">
              <w:rPr>
                <w:rFonts w:asciiTheme="majorHAnsi" w:hAnsiTheme="majorHAnsi" w:cstheme="majorHAnsi"/>
              </w:rPr>
              <w:t xml:space="preserve"> общественности о лучших практиках </w:t>
            </w:r>
            <w:r>
              <w:rPr>
                <w:rFonts w:asciiTheme="majorHAnsi" w:hAnsiTheme="majorHAnsi" w:cstheme="majorHAnsi"/>
              </w:rPr>
              <w:t>землепользования</w:t>
            </w:r>
            <w:r w:rsidR="008A4EA1">
              <w:rPr>
                <w:rFonts w:asciiTheme="majorHAnsi" w:hAnsiTheme="majorHAnsi" w:cstheme="majorHAnsi"/>
              </w:rPr>
              <w:t>;</w:t>
            </w:r>
            <w:r w:rsidR="001F1DFD" w:rsidRPr="008A4EA1">
              <w:rPr>
                <w:rFonts w:asciiTheme="majorHAnsi" w:hAnsiTheme="majorHAnsi" w:cstheme="majorHAnsi"/>
              </w:rPr>
              <w:t xml:space="preserve"> </w:t>
            </w:r>
          </w:p>
          <w:p w14:paraId="7B179E1F" w14:textId="3B75C9AF" w:rsidR="005A71C6" w:rsidRPr="008A4EA1" w:rsidRDefault="005A71C6" w:rsidP="008A4EA1">
            <w:pPr>
              <w:numPr>
                <w:ilvl w:val="0"/>
                <w:numId w:val="25"/>
              </w:numPr>
              <w:ind w:left="308" w:hanging="284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Тематические презентации </w:t>
            </w:r>
            <w:r w:rsidR="00D77072">
              <w:rPr>
                <w:rFonts w:asciiTheme="majorHAnsi" w:hAnsiTheme="majorHAnsi" w:cstheme="majorHAnsi"/>
              </w:rPr>
              <w:t>п</w:t>
            </w:r>
            <w:r w:rsidRPr="008A4EA1">
              <w:rPr>
                <w:rFonts w:asciiTheme="majorHAnsi" w:hAnsiTheme="majorHAnsi" w:cstheme="majorHAnsi"/>
              </w:rPr>
              <w:t>о зем</w:t>
            </w:r>
            <w:r w:rsidR="00D77072">
              <w:rPr>
                <w:rFonts w:asciiTheme="majorHAnsi" w:hAnsiTheme="majorHAnsi" w:cstheme="majorHAnsi"/>
              </w:rPr>
              <w:t>л</w:t>
            </w:r>
            <w:r w:rsidRPr="008A4EA1">
              <w:rPr>
                <w:rFonts w:asciiTheme="majorHAnsi" w:hAnsiTheme="majorHAnsi" w:cstheme="majorHAnsi"/>
              </w:rPr>
              <w:t>е</w:t>
            </w:r>
            <w:r w:rsidR="00D77072">
              <w:rPr>
                <w:rFonts w:asciiTheme="majorHAnsi" w:hAnsiTheme="majorHAnsi" w:cstheme="majorHAnsi"/>
              </w:rPr>
              <w:t xml:space="preserve">пользованию на </w:t>
            </w:r>
            <w:r w:rsidR="00BE1E41" w:rsidRPr="00BE1E41">
              <w:rPr>
                <w:rFonts w:asciiTheme="majorHAnsi" w:hAnsiTheme="majorHAnsi" w:cstheme="majorHAnsi"/>
              </w:rPr>
              <w:t>7 целевых юридически признанных ООПТ, включая буферные зоны и окружающее землепользование</w:t>
            </w:r>
            <w:r w:rsidR="001F1DFD" w:rsidRPr="008A4E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037F0547" w14:textId="77777777" w:rsidR="006E68C3" w:rsidRPr="008A4EA1" w:rsidRDefault="006E68C3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8A4EA1" w14:paraId="2ADC05BF" w14:textId="77777777" w:rsidTr="009C0605">
        <w:trPr>
          <w:jc w:val="center"/>
        </w:trPr>
        <w:tc>
          <w:tcPr>
            <w:tcW w:w="5000" w:type="pct"/>
          </w:tcPr>
          <w:p w14:paraId="3AFA2EA3" w14:textId="320DCE70" w:rsidR="00314061" w:rsidRPr="008A4EA1" w:rsidRDefault="00314061" w:rsidP="00D32F97">
            <w:pPr>
              <w:pStyle w:val="a4"/>
              <w:numPr>
                <w:ilvl w:val="0"/>
                <w:numId w:val="15"/>
              </w:numPr>
              <w:ind w:left="447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8A4EA1" w14:paraId="02BB0199" w14:textId="77777777" w:rsidTr="009C0605">
        <w:trPr>
          <w:jc w:val="center"/>
        </w:trPr>
        <w:tc>
          <w:tcPr>
            <w:tcW w:w="5000" w:type="pct"/>
          </w:tcPr>
          <w:p w14:paraId="55D544C1" w14:textId="2B3DA282" w:rsidR="008D666D" w:rsidRPr="008A4EA1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</w:t>
            </w:r>
            <w:r w:rsidR="00130622" w:rsidRPr="008A4EA1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0"/>
              <w:gridCol w:w="6658"/>
              <w:gridCol w:w="2162"/>
            </w:tblGrid>
            <w:tr w:rsidR="00236891" w:rsidRPr="008A4EA1" w14:paraId="7E973087" w14:textId="77777777" w:rsidTr="00B65084">
              <w:trPr>
                <w:trHeight w:val="562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236891" w:rsidRPr="008A4EA1" w:rsidRDefault="00236891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236891" w:rsidRPr="008A4EA1" w:rsidRDefault="00236891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236891" w:rsidRPr="008A4EA1" w:rsidRDefault="00236891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236891" w:rsidRPr="008A4EA1" w14:paraId="023E3F99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236891" w:rsidRPr="004943FC" w:rsidRDefault="00236891" w:rsidP="004943FC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15377FD0" w:rsidR="00236891" w:rsidRPr="008A4EA1" w:rsidRDefault="00236891" w:rsidP="00236891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1:</w:t>
                  </w:r>
                  <w:r w:rsidR="00DD3E08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="00DD3E08"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6B4C90BF" w14:textId="2971D9DD" w:rsidR="00E2427E" w:rsidRPr="009D126C" w:rsidRDefault="00D77072" w:rsidP="009D126C">
                  <w:pPr>
                    <w:numPr>
                      <w:ilvl w:val="0"/>
                      <w:numId w:val="25"/>
                    </w:numPr>
                    <w:ind w:left="308" w:hanging="284"/>
                    <w:rPr>
                      <w:rFonts w:asciiTheme="majorHAnsi" w:hAnsiTheme="majorHAnsi" w:cstheme="majorHAnsi"/>
                    </w:rPr>
                  </w:pPr>
                  <w:r w:rsidRPr="00E2427E">
                    <w:rPr>
                      <w:rFonts w:asciiTheme="majorHAnsi" w:hAnsiTheme="majorHAnsi" w:cstheme="majorHAnsi"/>
                    </w:rPr>
                    <w:t>Отчет полевой поездки и проведенных консультаций для согласования действий с местным хукуматом, администрацией охраняемых территорий и другими землепользователями.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121216F6" w:rsidR="00236891" w:rsidRPr="008A4EA1" w:rsidRDefault="00236891" w:rsidP="00236891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97671A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236891" w:rsidRPr="008A4EA1" w14:paraId="7AE873F7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004A" w14:textId="77777777" w:rsidR="00236891" w:rsidRPr="004943FC" w:rsidRDefault="00236891" w:rsidP="004943FC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ED5BC" w14:textId="6219154A" w:rsidR="00236891" w:rsidRDefault="00236891" w:rsidP="00236891">
                  <w:pPr>
                    <w:jc w:val="both"/>
                    <w:rPr>
                      <w:rFonts w:ascii="Calibri Light" w:hAnsi="Calibri Light" w:cs="Calibri Light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2:</w:t>
                  </w:r>
                  <w:r w:rsidR="00411EAF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="00411EAF"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6830EF85" w14:textId="52E1802C" w:rsidR="00236891" w:rsidRPr="009D126C" w:rsidRDefault="009D126C" w:rsidP="009D126C">
                  <w:pPr>
                    <w:numPr>
                      <w:ilvl w:val="0"/>
                      <w:numId w:val="25"/>
                    </w:numPr>
                    <w:ind w:left="308" w:hanging="28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С</w:t>
                  </w:r>
                  <w:r w:rsidRPr="00EC4CC0">
                    <w:rPr>
                      <w:rFonts w:asciiTheme="majorHAnsi" w:hAnsiTheme="majorHAnsi" w:cstheme="majorHAnsi"/>
                    </w:rPr>
                    <w:t xml:space="preserve">бор </w:t>
                  </w:r>
                  <w:r>
                    <w:rPr>
                      <w:rFonts w:asciiTheme="majorHAnsi" w:hAnsiTheme="majorHAnsi" w:cstheme="majorHAnsi"/>
                    </w:rPr>
                    <w:t xml:space="preserve">и анализ необходимых регламентирующих документов по землепользованию в </w:t>
                  </w:r>
                  <w:r w:rsidRPr="002E0BF5">
                    <w:rPr>
                      <w:rFonts w:asciiTheme="majorHAnsi" w:hAnsiTheme="majorHAnsi" w:cstheme="majorHAnsi"/>
                    </w:rPr>
                    <w:t>7 целевых юридически признанных ООПТ, включая буферные зоны и окружающее землепользование</w:t>
                  </w:r>
                  <w:r>
                    <w:rPr>
                      <w:rFonts w:asciiTheme="majorHAnsi" w:hAnsiTheme="majorHAnsi" w:cstheme="majorHAnsi"/>
                    </w:rPr>
                    <w:t xml:space="preserve">;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1BCF3" w14:textId="78546DA4" w:rsidR="00236891" w:rsidRPr="008A4EA1" w:rsidRDefault="00236891" w:rsidP="00236891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97671A">
                    <w:rPr>
                      <w:rFonts w:asciiTheme="majorHAnsi" w:hAnsiTheme="majorHAnsi" w:cstheme="majorHAnsi"/>
                    </w:rPr>
                    <w:t xml:space="preserve">декабря </w:t>
                  </w:r>
                  <w:r w:rsidRPr="008A4EA1">
                    <w:rPr>
                      <w:rFonts w:asciiTheme="majorHAnsi" w:hAnsiTheme="majorHAnsi" w:cstheme="majorHAnsi"/>
                    </w:rPr>
                    <w:t>2024 г.</w:t>
                  </w:r>
                </w:p>
              </w:tc>
            </w:tr>
            <w:tr w:rsidR="00236891" w:rsidRPr="008A4EA1" w14:paraId="1A56F3BD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43E86" w14:textId="77777777" w:rsidR="00236891" w:rsidRPr="004943FC" w:rsidRDefault="00236891" w:rsidP="004943FC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9EAC8" w14:textId="16E2ACFE" w:rsidR="00236891" w:rsidRPr="008A4EA1" w:rsidRDefault="00236891" w:rsidP="00236891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>Результат 3:</w:t>
                  </w:r>
                  <w:r w:rsidR="00B35D0E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="00B35D0E"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093F5008" w14:textId="6ABEB745" w:rsidR="00236891" w:rsidRPr="009D126C" w:rsidRDefault="009D126C" w:rsidP="009D126C">
                  <w:pPr>
                    <w:numPr>
                      <w:ilvl w:val="0"/>
                      <w:numId w:val="25"/>
                    </w:numPr>
                    <w:ind w:left="308" w:hanging="284"/>
                    <w:rPr>
                      <w:rFonts w:asciiTheme="majorHAnsi" w:hAnsiTheme="majorHAnsi" w:cstheme="majorHAnsi"/>
                    </w:rPr>
                  </w:pPr>
                  <w:r w:rsidRPr="00DF695B">
                    <w:rPr>
                      <w:rFonts w:asciiTheme="majorHAnsi" w:hAnsiTheme="majorHAnsi" w:cstheme="majorHAnsi"/>
                    </w:rPr>
                    <w:t xml:space="preserve">Подготовка </w:t>
                  </w:r>
                  <w:r>
                    <w:rPr>
                      <w:rFonts w:asciiTheme="majorHAnsi" w:hAnsiTheme="majorHAnsi" w:cstheme="majorHAnsi"/>
                    </w:rPr>
                    <w:t xml:space="preserve">информационных </w:t>
                  </w:r>
                  <w:r w:rsidRPr="00DF695B">
                    <w:rPr>
                      <w:rFonts w:asciiTheme="majorHAnsi" w:hAnsiTheme="majorHAnsi" w:cstheme="majorHAnsi"/>
                    </w:rPr>
                    <w:t xml:space="preserve">материалов комплексного обследования территории с целью </w:t>
                  </w:r>
                  <w:r>
                    <w:rPr>
                      <w:rFonts w:asciiTheme="majorHAnsi" w:hAnsiTheme="majorHAnsi" w:cstheme="majorHAnsi"/>
                    </w:rPr>
                    <w:t xml:space="preserve">определение </w:t>
                  </w:r>
                  <w:r w:rsidRPr="00DF695B">
                    <w:rPr>
                      <w:rFonts w:asciiTheme="majorHAnsi" w:hAnsiTheme="majorHAnsi" w:cstheme="majorHAnsi"/>
                    </w:rPr>
                    <w:t xml:space="preserve">статуса </w:t>
                  </w:r>
                  <w:r>
                    <w:rPr>
                      <w:rFonts w:asciiTheme="majorHAnsi" w:hAnsiTheme="majorHAnsi" w:cstheme="majorHAnsi"/>
                    </w:rPr>
                    <w:t xml:space="preserve">охраняемых территорий и </w:t>
                  </w:r>
                  <w:r w:rsidRPr="00DF695B">
                    <w:rPr>
                      <w:rFonts w:asciiTheme="majorHAnsi" w:hAnsiTheme="majorHAnsi" w:cstheme="majorHAnsi"/>
                    </w:rPr>
                    <w:t>подготов</w:t>
                  </w:r>
                  <w:r>
                    <w:rPr>
                      <w:rFonts w:asciiTheme="majorHAnsi" w:hAnsiTheme="majorHAnsi" w:cstheme="majorHAnsi"/>
                    </w:rPr>
                    <w:t>ка проекта положений по устойчивому землепользованию</w:t>
                  </w:r>
                  <w:r w:rsidRPr="00D77072">
                    <w:rPr>
                      <w:rFonts w:asciiTheme="majorHAnsi" w:hAnsiTheme="majorHAnsi" w:cstheme="majorHAnsi"/>
                    </w:rPr>
                    <w:t>.</w:t>
                  </w:r>
                  <w:r w:rsidR="0017051B" w:rsidRPr="009D126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E02F9" w14:textId="2A21D956" w:rsidR="00236891" w:rsidRPr="008A4EA1" w:rsidRDefault="00236891" w:rsidP="00236891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97671A"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97671A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36891" w:rsidRPr="008A4EA1" w14:paraId="3C0E37E1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24A9E" w14:textId="77777777" w:rsidR="00236891" w:rsidRPr="004943FC" w:rsidRDefault="00236891" w:rsidP="004943FC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571EE" w14:textId="765928EA" w:rsidR="00236891" w:rsidRPr="008A4EA1" w:rsidRDefault="00236891" w:rsidP="00236891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 xml:space="preserve">Результат 4: </w:t>
                  </w:r>
                  <w:r w:rsidR="002551D7" w:rsidRPr="00316351">
                    <w:rPr>
                      <w:rFonts w:ascii="Calibri Light" w:hAnsi="Calibri Light" w:cs="Calibri Light"/>
                      <w:b/>
                    </w:rPr>
                    <w:t>Четвертый отчет</w:t>
                  </w:r>
                </w:p>
                <w:p w14:paraId="664581BD" w14:textId="4C11A3EA" w:rsidR="00236891" w:rsidRPr="004943FC" w:rsidRDefault="009D126C" w:rsidP="004943FC">
                  <w:pPr>
                    <w:numPr>
                      <w:ilvl w:val="0"/>
                      <w:numId w:val="25"/>
                    </w:numPr>
                    <w:ind w:left="308" w:hanging="28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Обзор</w:t>
                  </w:r>
                  <w:r w:rsidRPr="00F52ACC">
                    <w:rPr>
                      <w:rFonts w:asciiTheme="majorHAnsi" w:hAnsiTheme="majorHAnsi" w:cstheme="majorHAnsi"/>
                    </w:rPr>
                    <w:t xml:space="preserve"> об основных землепользователях, категориях земель и реестр</w:t>
                  </w:r>
                  <w:r>
                    <w:rPr>
                      <w:rFonts w:asciiTheme="majorHAnsi" w:hAnsiTheme="majorHAnsi" w:cstheme="majorHAnsi"/>
                    </w:rPr>
                    <w:t>а</w:t>
                  </w:r>
                  <w:r w:rsidRPr="00F52ACC">
                    <w:rPr>
                      <w:rFonts w:asciiTheme="majorHAnsi" w:hAnsiTheme="majorHAnsi" w:cstheme="majorHAnsi"/>
                    </w:rPr>
                    <w:t xml:space="preserve"> землепользования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51213B">
                    <w:rPr>
                      <w:rFonts w:asciiTheme="majorHAnsi" w:hAnsiTheme="majorHAnsi" w:cstheme="majorHAnsi"/>
                    </w:rPr>
                    <w:t>7 целевых юридически признанных ООПТ, включая буферные зоны и окружающее землепользование</w:t>
                  </w:r>
                  <w:r>
                    <w:rPr>
                      <w:rFonts w:asciiTheme="majorHAnsi" w:hAnsiTheme="majorHAnsi" w:cstheme="majorHAnsi"/>
                    </w:rPr>
                    <w:t>;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F10B2" w14:textId="5BCA2F68" w:rsidR="00236891" w:rsidRPr="004943FC" w:rsidRDefault="0097671A" w:rsidP="004943FC">
                  <w:pPr>
                    <w:pStyle w:val="a4"/>
                    <w:numPr>
                      <w:ilvl w:val="0"/>
                      <w:numId w:val="27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  <w:r w:rsidRPr="004943FC">
                    <w:rPr>
                      <w:rFonts w:asciiTheme="majorHAnsi" w:hAnsiTheme="majorHAnsi" w:cstheme="majorHAnsi"/>
                    </w:rPr>
                    <w:t>апреля</w:t>
                  </w:r>
                  <w:r w:rsidR="00236891" w:rsidRPr="004943FC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Pr="004943FC">
                    <w:rPr>
                      <w:rFonts w:asciiTheme="majorHAnsi" w:hAnsiTheme="majorHAnsi" w:cstheme="majorHAnsi"/>
                    </w:rPr>
                    <w:t>5</w:t>
                  </w:r>
                  <w:r w:rsidR="00236891" w:rsidRPr="004943FC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9D126C" w:rsidRPr="008A4EA1" w14:paraId="5FF11B86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E912B" w14:textId="77777777" w:rsidR="009D126C" w:rsidRPr="004943FC" w:rsidRDefault="009D126C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1ACF9" w14:textId="39236407" w:rsidR="004943FC" w:rsidRPr="004943FC" w:rsidRDefault="004943FC" w:rsidP="004943F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993E129" w14:textId="078AB86B" w:rsidR="009D126C" w:rsidRPr="00435E3D" w:rsidRDefault="009D126C" w:rsidP="00236891">
                  <w:pPr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Анализ влияния использования земель на окружающую среду и разработка рекомендаций по </w:t>
                  </w:r>
                  <w:r>
                    <w:rPr>
                      <w:rFonts w:asciiTheme="majorHAnsi" w:hAnsiTheme="majorHAnsi" w:cstheme="majorHAnsi"/>
                    </w:rPr>
                    <w:t>устойчивому землепользованию;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1A0C2" w14:textId="4D9C1280" w:rsidR="009D126C" w:rsidRPr="008A4EA1" w:rsidRDefault="00924E55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9D126C" w:rsidRPr="008A4EA1" w14:paraId="42742E50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EBBBB" w14:textId="77777777" w:rsidR="009D126C" w:rsidRPr="004943FC" w:rsidRDefault="009D126C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DBCF" w14:textId="06FBC6DF" w:rsidR="00D53643" w:rsidRPr="00435E3D" w:rsidRDefault="00D53643" w:rsidP="00D53643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435E3D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0DB4E601" w14:textId="6D89D030" w:rsidR="009D126C" w:rsidRPr="00435E3D" w:rsidRDefault="009D126C" w:rsidP="00B17DD7">
                  <w:pPr>
                    <w:ind w:left="28"/>
                    <w:rPr>
                      <w:rFonts w:asciiTheme="majorHAnsi" w:hAnsiTheme="majorHAnsi" w:cstheme="majorHAnsi"/>
                    </w:rPr>
                  </w:pPr>
                  <w:r w:rsidRPr="00EC4CC0">
                    <w:rPr>
                      <w:rFonts w:asciiTheme="majorHAnsi" w:hAnsiTheme="majorHAnsi" w:cstheme="majorHAnsi"/>
                    </w:rPr>
                    <w:t>Разработка рекомендаций и предложений</w:t>
                  </w:r>
                  <w:r>
                    <w:rPr>
                      <w:rFonts w:asciiTheme="majorHAnsi" w:hAnsiTheme="majorHAnsi" w:cstheme="majorHAnsi"/>
                    </w:rPr>
                    <w:t xml:space="preserve"> совместно с группой экспертов по устойчивому землепользованию;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86B95" w14:textId="6EDAA7D8" w:rsidR="009D126C" w:rsidRPr="008A4EA1" w:rsidRDefault="008961F0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9D126C" w:rsidRPr="008A4EA1" w14:paraId="58F9EB23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6CC1C" w14:textId="77777777" w:rsidR="009D126C" w:rsidRPr="004943FC" w:rsidRDefault="009D126C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BFCBD" w14:textId="71FCA54C" w:rsidR="00D53643" w:rsidRPr="00435E3D" w:rsidRDefault="00107120" w:rsidP="00107120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7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435E3D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Седьмой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B3137C0" w14:textId="42F33A3C" w:rsidR="009D126C" w:rsidRPr="00435E3D" w:rsidRDefault="009D126C" w:rsidP="00236891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Подготовка и внесение дополнения и изменений в регламентирующие нормативно-правовые документы по устойчивому землепользованию;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471AE" w14:textId="5EBEE6DC" w:rsidR="009D126C" w:rsidRPr="008A4EA1" w:rsidRDefault="003372D3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>25 октября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9D126C" w:rsidRPr="008A4EA1" w14:paraId="105EC013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D43E2" w14:textId="77777777" w:rsidR="009D126C" w:rsidRPr="004943FC" w:rsidRDefault="009D126C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53DEA" w14:textId="434381D1" w:rsidR="000E0964" w:rsidRPr="00435E3D" w:rsidRDefault="000E0964" w:rsidP="000E0964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8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435E3D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Восьмой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AC1FCA9" w14:textId="3AF2CDE9" w:rsidR="009D126C" w:rsidRPr="00435E3D" w:rsidRDefault="009D126C" w:rsidP="00236891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Подготовка информационных материалов по вопросам землепользования 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и информирование </w:t>
                  </w:r>
                  <w:r>
                    <w:rPr>
                      <w:rFonts w:asciiTheme="majorHAnsi" w:hAnsiTheme="majorHAnsi" w:cstheme="majorHAnsi"/>
                    </w:rPr>
                    <w:t>бенефициаров и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общественности о лучших практиках </w:t>
                  </w:r>
                  <w:r>
                    <w:rPr>
                      <w:rFonts w:asciiTheme="majorHAnsi" w:hAnsiTheme="majorHAnsi" w:cstheme="majorHAnsi"/>
                    </w:rPr>
                    <w:t>землепользования;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6BBC9" w14:textId="3FC1BECF" w:rsidR="009D126C" w:rsidRPr="008A4EA1" w:rsidRDefault="00F72CF4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9D126C" w:rsidRPr="008A4EA1" w14:paraId="13685FC8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68CEE" w14:textId="77777777" w:rsidR="009D126C" w:rsidRPr="004943FC" w:rsidRDefault="009D126C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5989B" w14:textId="77777777" w:rsidR="00B17DD7" w:rsidRPr="00C70091" w:rsidRDefault="00B17DD7" w:rsidP="00B17DD7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9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B17DD7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Девятый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D797D60" w14:textId="4A0F2491" w:rsidR="009D126C" w:rsidRDefault="009D126C" w:rsidP="000E0964">
                  <w:pPr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Тематические презентации </w:t>
                  </w:r>
                  <w:r>
                    <w:rPr>
                      <w:rFonts w:asciiTheme="majorHAnsi" w:hAnsiTheme="majorHAnsi" w:cstheme="majorHAnsi"/>
                    </w:rPr>
                    <w:t>п</w:t>
                  </w:r>
                  <w:r w:rsidRPr="008A4EA1">
                    <w:rPr>
                      <w:rFonts w:asciiTheme="majorHAnsi" w:hAnsiTheme="majorHAnsi" w:cstheme="majorHAnsi"/>
                    </w:rPr>
                    <w:t>о зем</w:t>
                  </w:r>
                  <w:r>
                    <w:rPr>
                      <w:rFonts w:asciiTheme="majorHAnsi" w:hAnsiTheme="majorHAnsi" w:cstheme="majorHAnsi"/>
                    </w:rPr>
                    <w:t>л</w:t>
                  </w:r>
                  <w:r w:rsidRPr="008A4EA1">
                    <w:rPr>
                      <w:rFonts w:asciiTheme="majorHAnsi" w:hAnsiTheme="majorHAnsi" w:cstheme="majorHAnsi"/>
                    </w:rPr>
                    <w:t>е</w:t>
                  </w:r>
                  <w:r>
                    <w:rPr>
                      <w:rFonts w:asciiTheme="majorHAnsi" w:hAnsiTheme="majorHAnsi" w:cstheme="majorHAnsi"/>
                    </w:rPr>
                    <w:t xml:space="preserve">пользованию на </w:t>
                  </w:r>
                  <w:r w:rsidRPr="008A4EA1">
                    <w:rPr>
                      <w:rFonts w:asciiTheme="majorHAnsi" w:hAnsiTheme="majorHAnsi" w:cstheme="majorHAnsi"/>
                    </w:rPr>
                    <w:t>проект</w:t>
                  </w:r>
                  <w:r>
                    <w:rPr>
                      <w:rFonts w:asciiTheme="majorHAnsi" w:hAnsiTheme="majorHAnsi" w:cstheme="majorHAnsi"/>
                    </w:rPr>
                    <w:t>ных территориях</w:t>
                  </w:r>
                  <w:r w:rsidRPr="008A4EA1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898A" w14:textId="01352B80" w:rsidR="009D126C" w:rsidRPr="008A4EA1" w:rsidRDefault="00FC11D0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B17DD7" w:rsidRPr="008A4EA1" w14:paraId="744FCC51" w14:textId="77777777" w:rsidTr="00B65084">
              <w:trPr>
                <w:trHeight w:val="561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6B962" w14:textId="77777777" w:rsidR="00B17DD7" w:rsidRPr="004943FC" w:rsidRDefault="00B17DD7" w:rsidP="004943FC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296B" w14:textId="77777777" w:rsidR="002F2450" w:rsidRPr="006E4A94" w:rsidRDefault="002F2450" w:rsidP="002F2450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10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435E3D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Десятый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4D2A498" w14:textId="166CA994" w:rsidR="00B17DD7" w:rsidRPr="0099706B" w:rsidRDefault="0099706B" w:rsidP="00B17DD7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99706B">
                    <w:rPr>
                      <w:rFonts w:asciiTheme="majorHAnsi" w:hAnsiTheme="majorHAnsi" w:cstheme="majorHAnsi"/>
                      <w:bCs/>
                    </w:rPr>
                    <w:t>Предоставить рекомендации по разработке карт землепользования высокого разрешения.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11356" w14:textId="6C668E94" w:rsidR="00B17DD7" w:rsidRPr="008A4EA1" w:rsidRDefault="007401AD" w:rsidP="00236891">
                  <w:pPr>
                    <w:ind w:left="28"/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</w:tbl>
          <w:p w14:paraId="579B7A98" w14:textId="77777777" w:rsidR="00D03B9D" w:rsidRPr="008A4EA1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7871A0" w14:textId="77777777" w:rsidR="00C051FC" w:rsidRDefault="00C051FC" w:rsidP="00D32F97">
      <w:pPr>
        <w:spacing w:after="0" w:line="240" w:lineRule="auto"/>
        <w:rPr>
          <w:rFonts w:asciiTheme="majorHAnsi" w:hAnsiTheme="majorHAnsi" w:cstheme="majorHAnsi"/>
        </w:rPr>
      </w:pPr>
    </w:p>
    <w:p w14:paraId="1321706A" w14:textId="77777777" w:rsidR="00052211" w:rsidRPr="008A4EA1" w:rsidRDefault="00052211" w:rsidP="00D32F97">
      <w:pPr>
        <w:spacing w:after="0" w:line="240" w:lineRule="auto"/>
        <w:rPr>
          <w:rFonts w:asciiTheme="majorHAnsi" w:hAnsiTheme="majorHAnsi" w:cstheme="majorHAnsi"/>
        </w:rPr>
      </w:pPr>
    </w:p>
    <w:p w14:paraId="752D259B" w14:textId="279118E4" w:rsidR="00AF5386" w:rsidRPr="008A4EA1" w:rsidRDefault="00AF5386" w:rsidP="00D32F97">
      <w:pPr>
        <w:pStyle w:val="a4"/>
        <w:numPr>
          <w:ilvl w:val="0"/>
          <w:numId w:val="15"/>
        </w:numPr>
        <w:spacing w:before="120" w:after="120" w:line="240" w:lineRule="auto"/>
        <w:ind w:left="567" w:hanging="357"/>
        <w:contextualSpacing w:val="0"/>
        <w:rPr>
          <w:rFonts w:asciiTheme="majorHAnsi" w:hAnsiTheme="majorHAnsi" w:cstheme="majorHAnsi"/>
          <w:b/>
        </w:rPr>
      </w:pPr>
      <w:r w:rsidRPr="008A4EA1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0474BA93" w:rsidR="00AF5386" w:rsidRPr="008A4EA1" w:rsidRDefault="00AF5386" w:rsidP="00AF5386">
      <w:pPr>
        <w:jc w:val="both"/>
        <w:rPr>
          <w:rFonts w:asciiTheme="majorHAnsi" w:hAnsiTheme="majorHAnsi" w:cstheme="majorHAnsi"/>
          <w:b/>
          <w:bCs/>
        </w:rPr>
      </w:pPr>
      <w:proofErr w:type="spellStart"/>
      <w:r w:rsidRPr="008A4EA1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8A4EA1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2BFE046F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  <w:noProof/>
        </w:rPr>
        <w:t xml:space="preserve">Высшее образование в сфере агрономии, сельского хозяйства, </w:t>
      </w:r>
      <w:r w:rsidR="00EE094B">
        <w:rPr>
          <w:rFonts w:asciiTheme="majorHAnsi" w:hAnsiTheme="majorHAnsi" w:cstheme="majorHAnsi"/>
          <w:noProof/>
        </w:rPr>
        <w:t xml:space="preserve">землепользования, </w:t>
      </w:r>
      <w:r w:rsidRPr="008A4EA1">
        <w:rPr>
          <w:rFonts w:asciiTheme="majorHAnsi" w:hAnsiTheme="majorHAnsi" w:cstheme="majorHAnsi"/>
          <w:noProof/>
        </w:rPr>
        <w:t>биологических наук или аналогичных отраслей.</w:t>
      </w:r>
      <w:r w:rsidRPr="008A4EA1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8A4EA1" w:rsidRDefault="00AF5386" w:rsidP="00AF5386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8A4EA1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8A4EA1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8A4EA1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8A4EA1">
        <w:rPr>
          <w:rFonts w:asciiTheme="majorHAnsi" w:hAnsiTheme="majorHAnsi" w:cstheme="majorHAnsi"/>
          <w:b/>
          <w:bCs/>
        </w:rPr>
        <w:t>(Критерия С)</w:t>
      </w:r>
    </w:p>
    <w:p w14:paraId="759D82C2" w14:textId="0941AD88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Не менее пяти лет соответствующего опыта работы в области землепользования/агрономии; </w:t>
      </w:r>
      <w:r w:rsidRPr="008A4EA1">
        <w:rPr>
          <w:rFonts w:asciiTheme="majorHAnsi" w:hAnsiTheme="majorHAnsi" w:cstheme="majorHAnsi"/>
          <w:b/>
          <w:bCs/>
        </w:rPr>
        <w:t xml:space="preserve">(Критерия </w:t>
      </w:r>
      <w:r w:rsidRPr="008A4EA1">
        <w:rPr>
          <w:rFonts w:asciiTheme="majorHAnsi" w:hAnsiTheme="majorHAnsi" w:cstheme="majorHAnsi"/>
          <w:b/>
          <w:bCs/>
          <w:lang w:val="en-US"/>
        </w:rPr>
        <w:t>D</w:t>
      </w:r>
      <w:r w:rsidRPr="008A4EA1">
        <w:rPr>
          <w:rFonts w:asciiTheme="majorHAnsi" w:hAnsiTheme="majorHAnsi" w:cstheme="majorHAnsi"/>
          <w:b/>
          <w:bCs/>
        </w:rPr>
        <w:t>)</w:t>
      </w:r>
      <w:r w:rsidRPr="008A4EA1">
        <w:rPr>
          <w:rFonts w:asciiTheme="majorHAnsi" w:hAnsiTheme="majorHAnsi" w:cstheme="majorHAnsi"/>
        </w:rPr>
        <w:t xml:space="preserve"> </w:t>
      </w:r>
    </w:p>
    <w:p w14:paraId="36AE35FA" w14:textId="31D11BA8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землепользования; </w:t>
      </w:r>
      <w:r w:rsidRPr="008A4EA1">
        <w:rPr>
          <w:rFonts w:asciiTheme="majorHAnsi" w:hAnsiTheme="majorHAnsi" w:cstheme="majorHAnsi"/>
          <w:b/>
          <w:bCs/>
        </w:rPr>
        <w:t>(Критерия Е)</w:t>
      </w:r>
    </w:p>
    <w:p w14:paraId="54598811" w14:textId="3E1CB369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8A4EA1">
        <w:rPr>
          <w:rFonts w:asciiTheme="majorHAnsi" w:hAnsiTheme="majorHAnsi" w:cstheme="majorHAnsi"/>
          <w:b/>
          <w:bCs/>
        </w:rPr>
        <w:t xml:space="preserve">(Критерия </w:t>
      </w:r>
      <w:r w:rsidRPr="008A4EA1">
        <w:rPr>
          <w:rFonts w:asciiTheme="majorHAnsi" w:hAnsiTheme="majorHAnsi" w:cstheme="majorHAnsi"/>
          <w:b/>
          <w:bCs/>
          <w:lang w:val="en-US"/>
        </w:rPr>
        <w:t>F</w:t>
      </w:r>
      <w:r w:rsidRPr="008A4EA1">
        <w:rPr>
          <w:rFonts w:asciiTheme="majorHAnsi" w:hAnsiTheme="majorHAnsi" w:cstheme="majorHAnsi"/>
          <w:b/>
          <w:bCs/>
        </w:rPr>
        <w:t>)</w:t>
      </w:r>
      <w:r w:rsidRPr="008A4EA1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8A4EA1" w:rsidRDefault="00AF5386" w:rsidP="00A634ED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8A4EA1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8A4EA1">
        <w:rPr>
          <w:rFonts w:asciiTheme="majorHAnsi" w:hAnsiTheme="majorHAnsi" w:cstheme="majorHAnsi"/>
        </w:rPr>
        <w:t xml:space="preserve">. </w:t>
      </w:r>
      <w:r w:rsidRPr="008A4EA1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8A4EA1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8A4EA1">
        <w:rPr>
          <w:rFonts w:asciiTheme="majorHAnsi" w:hAnsiTheme="majorHAnsi" w:cstheme="majorHAnsi"/>
          <w:b/>
          <w:bCs/>
        </w:rPr>
        <w:t>я</w:t>
      </w:r>
      <w:r w:rsidR="001C6A86" w:rsidRPr="008A4EA1">
        <w:rPr>
          <w:rFonts w:asciiTheme="majorHAnsi" w:hAnsiTheme="majorHAnsi" w:cstheme="majorHAnsi"/>
          <w:b/>
          <w:bCs/>
        </w:rPr>
        <w:t xml:space="preserve"> </w:t>
      </w:r>
      <w:r w:rsidRPr="008A4EA1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04FE3FD1" w:rsidR="00AF5386" w:rsidRPr="009C0605" w:rsidRDefault="00AF5386" w:rsidP="009C0605">
      <w:pPr>
        <w:spacing w:before="120" w:after="120"/>
        <w:jc w:val="both"/>
        <w:rPr>
          <w:rFonts w:asciiTheme="majorHAnsi" w:hAnsiTheme="majorHAnsi" w:cstheme="majorHAnsi"/>
          <w:b/>
        </w:rPr>
      </w:pPr>
      <w:proofErr w:type="spellStart"/>
      <w:r w:rsidRPr="008A4EA1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8A4EA1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8A4EA1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  <w:r w:rsidR="009C0605">
        <w:rPr>
          <w:rFonts w:asciiTheme="majorHAnsi" w:hAnsiTheme="majorHAnsi" w:cstheme="majorHAnsi"/>
          <w:b/>
        </w:rPr>
        <w:t>:</w:t>
      </w:r>
    </w:p>
    <w:p w14:paraId="71FC766F" w14:textId="77777777" w:rsidR="00AF5386" w:rsidRPr="008A4EA1" w:rsidRDefault="00AF5386" w:rsidP="009C0605">
      <w:pPr>
        <w:spacing w:before="120"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8A4EA1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8A4EA1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8A4EA1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8A4EA1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8A4EA1" w:rsidRDefault="00AF5386" w:rsidP="009C0605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8A4EA1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8A4EA1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8A4EA1" w:rsidRDefault="00AF5386" w:rsidP="009C0605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8A4EA1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8A4EA1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8A4EA1" w:rsidRDefault="00AF5386" w:rsidP="009C0605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8A4EA1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8A4EA1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8A4EA1">
        <w:rPr>
          <w:rFonts w:asciiTheme="majorHAnsi" w:hAnsiTheme="majorHAnsi" w:cstheme="majorHAnsi"/>
          <w:lang w:val="en-GB"/>
        </w:rPr>
        <w:t>работа</w:t>
      </w:r>
      <w:proofErr w:type="spellEnd"/>
      <w:r w:rsidRPr="008A4EA1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8A4EA1" w:rsidRDefault="00AF5386" w:rsidP="009C0605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8A4EA1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8A4EA1">
        <w:rPr>
          <w:rFonts w:asciiTheme="majorHAnsi" w:hAnsiTheme="majorHAnsi" w:cstheme="majorHAnsi"/>
          <w:lang w:val="en-GB"/>
        </w:rPr>
        <w:t>.</w:t>
      </w:r>
    </w:p>
    <w:p w14:paraId="224DDA75" w14:textId="163BA676" w:rsidR="00AF5386" w:rsidRPr="009C0605" w:rsidRDefault="00AF5386" w:rsidP="009C0605">
      <w:pPr>
        <w:spacing w:before="120"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8A4EA1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8A4EA1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8A4EA1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8A4EA1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8A4EA1" w:rsidRDefault="00AF5386" w:rsidP="009C0605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8A4EA1" w:rsidRDefault="00AF5386" w:rsidP="009C0605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8A4EA1" w:rsidRDefault="00AF5386" w:rsidP="009C0605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8A4EA1" w:rsidRDefault="00AF5386" w:rsidP="009C0605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2F43536E" w:rsidR="00AF5386" w:rsidRPr="008A4EA1" w:rsidRDefault="00AF5386" w:rsidP="009C0605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8A4EA1">
        <w:rPr>
          <w:rFonts w:asciiTheme="majorHAnsi" w:hAnsiTheme="majorHAnsi" w:cstheme="majorHAnsi"/>
          <w:bCs/>
          <w:color w:val="000000"/>
        </w:rPr>
        <w:lastRenderedPageBreak/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47197E6D" w14:textId="77777777" w:rsidR="00DF5E61" w:rsidRPr="008A4EA1" w:rsidRDefault="00DF5E61" w:rsidP="00DF5E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AA238B8" w14:textId="6A1E5093" w:rsidR="00DF5E61" w:rsidRPr="008A4EA1" w:rsidRDefault="00DF5E61" w:rsidP="00D32F97">
      <w:pPr>
        <w:pStyle w:val="a4"/>
        <w:numPr>
          <w:ilvl w:val="0"/>
          <w:numId w:val="15"/>
        </w:numPr>
        <w:spacing w:after="0" w:line="240" w:lineRule="auto"/>
        <w:ind w:left="567"/>
        <w:rPr>
          <w:rFonts w:asciiTheme="majorHAnsi" w:hAnsiTheme="majorHAnsi" w:cstheme="majorHAnsi"/>
          <w:b/>
          <w:lang w:val="en-GB"/>
        </w:rPr>
      </w:pPr>
      <w:r w:rsidRPr="008A4EA1">
        <w:rPr>
          <w:rFonts w:asciiTheme="majorHAnsi" w:hAnsiTheme="majorHAnsi" w:cstheme="majorHAnsi"/>
          <w:b/>
        </w:rPr>
        <w:t>ПЛАТЕЖИ И</w:t>
      </w:r>
      <w:r w:rsidRPr="008A4EA1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388EC6E0" w:rsidR="00DF5E61" w:rsidRPr="008A4EA1" w:rsidRDefault="00DF5E61" w:rsidP="00417DE6">
      <w:pPr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197C10CD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479D54C0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79C92024" w14:textId="77777777" w:rsidR="001C3B06" w:rsidRPr="00DF5E61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33E2EF7A" w14:textId="77777777" w:rsidR="001C3B06" w:rsidRPr="0021571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409F277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CA77C39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0556B01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7F6C61A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11AAAE3" w14:textId="77777777" w:rsidR="001C3B06" w:rsidRPr="009C1F3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71A9F54" w14:textId="77777777" w:rsidR="001C3B06" w:rsidRPr="00215713" w:rsidRDefault="001C3B06" w:rsidP="001C3B06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25F88CE" w14:textId="77777777" w:rsidR="00DF5E61" w:rsidRPr="008A4EA1" w:rsidRDefault="00DF5E61" w:rsidP="009C0605">
      <w:pPr>
        <w:suppressAutoHyphens/>
        <w:spacing w:after="0" w:line="240" w:lineRule="auto"/>
        <w:ind w:right="-159"/>
        <w:jc w:val="both"/>
        <w:rPr>
          <w:rFonts w:asciiTheme="majorHAnsi" w:hAnsiTheme="majorHAnsi" w:cstheme="majorHAnsi"/>
        </w:rPr>
      </w:pPr>
    </w:p>
    <w:p w14:paraId="161019DC" w14:textId="7B779F0F" w:rsidR="00DF5E61" w:rsidRPr="008A4EA1" w:rsidRDefault="00DF5E61" w:rsidP="00DF5E61">
      <w:pPr>
        <w:suppressAutoHyphens/>
        <w:ind w:right="20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 xml:space="preserve">Ожидается, что в ходе выполнения задания консультант проведет 10% своего рабочего времени в поездках по </w:t>
      </w:r>
      <w:r w:rsidR="00D32F97">
        <w:rPr>
          <w:rFonts w:asciiTheme="majorHAnsi" w:hAnsiTheme="majorHAnsi" w:cstheme="majorHAnsi"/>
        </w:rPr>
        <w:t>проектным территориям</w:t>
      </w:r>
      <w:r w:rsidRPr="008A4EA1">
        <w:rPr>
          <w:rFonts w:asciiTheme="majorHAnsi" w:hAnsiTheme="majorHAnsi" w:cstheme="majorHAnsi"/>
        </w:rPr>
        <w:t>. Даты этих поездок будут согласованы между консультантом и НЦББ.</w:t>
      </w:r>
    </w:p>
    <w:p w14:paraId="75132792" w14:textId="77777777" w:rsidR="00DF5E61" w:rsidRPr="008A4EA1" w:rsidRDefault="00DF5E61" w:rsidP="00D32F97">
      <w:pPr>
        <w:pStyle w:val="a4"/>
        <w:numPr>
          <w:ilvl w:val="0"/>
          <w:numId w:val="15"/>
        </w:numPr>
        <w:spacing w:after="0" w:line="240" w:lineRule="auto"/>
        <w:ind w:left="567"/>
        <w:rPr>
          <w:rFonts w:asciiTheme="majorHAnsi" w:hAnsiTheme="majorHAnsi" w:cstheme="majorHAnsi"/>
          <w:b/>
        </w:rPr>
      </w:pPr>
      <w:r w:rsidRPr="008A4EA1">
        <w:rPr>
          <w:rFonts w:asciiTheme="majorHAnsi" w:hAnsiTheme="majorHAnsi" w:cstheme="majorHAnsi"/>
          <w:b/>
        </w:rPr>
        <w:t>ТРЕБОВАНИЯ К ПРЕДСТАВЛЕНИЮ</w:t>
      </w:r>
    </w:p>
    <w:p w14:paraId="7AE20B0A" w14:textId="77777777" w:rsidR="00DF5E61" w:rsidRPr="008A4EA1" w:rsidRDefault="00DF5E61" w:rsidP="00B65084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8A4EA1" w14:paraId="28222525" w14:textId="77777777" w:rsidTr="00713BEA">
        <w:tc>
          <w:tcPr>
            <w:tcW w:w="9980" w:type="dxa"/>
            <w:shd w:val="clear" w:color="auto" w:fill="auto"/>
          </w:tcPr>
          <w:p w14:paraId="4CCE7A57" w14:textId="77777777" w:rsidR="00DF5E61" w:rsidRPr="008A4EA1" w:rsidRDefault="00DF5E61" w:rsidP="009C0605">
            <w:pPr>
              <w:tabs>
                <w:tab w:val="left" w:pos="1410"/>
              </w:tabs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8A4EA1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8A4EA1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8A4EA1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8A4EA1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8A4EA1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8A4EA1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50D94BAB" w:rsidR="00DF5E61" w:rsidRPr="008A4EA1" w:rsidRDefault="00DF5E61" w:rsidP="009C0605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b/>
              </w:rPr>
              <w:t xml:space="preserve">Финансовое предложение/письмо оферента </w:t>
            </w:r>
            <w:r w:rsidRPr="008A4EA1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5" w:history="1">
              <w:r w:rsidRPr="008A4EA1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8A4EA1">
              <w:rPr>
                <w:rFonts w:asciiTheme="majorHAnsi" w:hAnsiTheme="majorHAnsi" w:cstheme="majorHAnsi"/>
              </w:rPr>
              <w:t>.</w:t>
            </w:r>
          </w:p>
          <w:p w14:paraId="277C7506" w14:textId="45063C2D" w:rsidR="0001733C" w:rsidRPr="0001733C" w:rsidRDefault="0001733C" w:rsidP="0001733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549D0959" w:rsidR="00DF5E61" w:rsidRPr="008A4EA1" w:rsidRDefault="00DF5E61" w:rsidP="00D32F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8A4EA1" w:rsidRDefault="00DF5E61" w:rsidP="009C060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08" w:hanging="284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D32F97" w:rsidRDefault="00DF5E61" w:rsidP="00D32F97">
            <w:pPr>
              <w:numPr>
                <w:ilvl w:val="0"/>
                <w:numId w:val="19"/>
              </w:numPr>
              <w:spacing w:after="0" w:line="240" w:lineRule="auto"/>
              <w:ind w:left="308" w:hanging="284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Все соответствующие путевые расходы будут покрыты и возмещены в соответствии с правилами </w:t>
            </w:r>
            <w:r w:rsidRPr="00D32F97">
              <w:rPr>
                <w:rFonts w:asciiTheme="majorHAnsi" w:hAnsiTheme="majorHAnsi" w:cstheme="majorHAnsi"/>
              </w:rPr>
              <w:t>и положениями НЦББ после подачи формы заявления и подтверждающих документов.</w:t>
            </w:r>
          </w:p>
          <w:p w14:paraId="32920DA4" w14:textId="77777777" w:rsidR="00DF5E61" w:rsidRPr="008A4EA1" w:rsidRDefault="00DF5E61" w:rsidP="00D32F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D32F97">
              <w:rPr>
                <w:rFonts w:asciiTheme="majorHAnsi" w:hAnsiTheme="majorHAnsi" w:cstheme="majorHAnsi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8A4EA1" w:rsidRDefault="00AF5386" w:rsidP="007C7109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8A4EA1" w:rsidRDefault="00DF5E61" w:rsidP="00D32F97">
      <w:pPr>
        <w:pStyle w:val="a4"/>
        <w:numPr>
          <w:ilvl w:val="0"/>
          <w:numId w:val="15"/>
        </w:numPr>
        <w:spacing w:after="0" w:line="240" w:lineRule="auto"/>
        <w:ind w:left="567"/>
        <w:rPr>
          <w:rFonts w:asciiTheme="majorHAnsi" w:hAnsiTheme="majorHAnsi" w:cstheme="majorHAnsi"/>
          <w:b/>
        </w:rPr>
      </w:pPr>
      <w:r w:rsidRPr="008A4EA1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8A4EA1" w:rsidRDefault="00DF5E61" w:rsidP="008F4AD0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8A4EA1">
        <w:rPr>
          <w:rFonts w:asciiTheme="majorHAnsi" w:hAnsiTheme="majorHAnsi" w:cstheme="majorHAnsi"/>
          <w:i/>
        </w:rPr>
        <w:t xml:space="preserve"> </w:t>
      </w:r>
      <w:r w:rsidRPr="008A4EA1">
        <w:rPr>
          <w:rFonts w:asciiTheme="majorHAnsi" w:hAnsiTheme="majorHAnsi" w:cstheme="majorHAnsi"/>
        </w:rPr>
        <w:t>только в процессе кабинетной проверки.</w:t>
      </w:r>
      <w:r w:rsidRPr="008A4EA1">
        <w:rPr>
          <w:rFonts w:asciiTheme="majorHAnsi" w:hAnsiTheme="majorHAnsi" w:cstheme="majorHAnsi"/>
          <w:i/>
        </w:rPr>
        <w:t xml:space="preserve"> </w:t>
      </w:r>
      <w:r w:rsidRPr="008A4EA1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8A4EA1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lastRenderedPageBreak/>
        <w:t>* Оценка технического предложения – 70%.</w:t>
      </w:r>
    </w:p>
    <w:p w14:paraId="6BF36ABD" w14:textId="321A90EA" w:rsidR="00DF5E61" w:rsidRPr="008A4EA1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8A4EA1" w:rsidRDefault="00DF5E61" w:rsidP="00417DE6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8A4EA1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8A4EA1">
        <w:rPr>
          <w:rFonts w:asciiTheme="majorHAnsi" w:hAnsiTheme="majorHAnsi" w:cstheme="majorHAnsi"/>
          <w:lang w:val="en-US"/>
        </w:rPr>
        <w:t> </w:t>
      </w:r>
      <w:r w:rsidRPr="008A4EA1">
        <w:rPr>
          <w:rFonts w:asciiTheme="majorHAnsi" w:hAnsiTheme="majorHAnsi" w:cstheme="majorHAnsi"/>
        </w:rPr>
        <w:t>% (технические), а ценовое предложение — 30</w:t>
      </w:r>
      <w:r w:rsidRPr="008A4EA1">
        <w:rPr>
          <w:rFonts w:asciiTheme="majorHAnsi" w:hAnsiTheme="majorHAnsi" w:cstheme="majorHAnsi"/>
          <w:lang w:val="en-US"/>
        </w:rPr>
        <w:t> </w:t>
      </w:r>
      <w:r w:rsidRPr="008A4EA1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"/>
        <w:gridCol w:w="7286"/>
        <w:gridCol w:w="2008"/>
      </w:tblGrid>
      <w:tr w:rsidR="00DF5E61" w:rsidRPr="008A4EA1" w14:paraId="330A4D4E" w14:textId="77777777" w:rsidTr="00B65084">
        <w:trPr>
          <w:trHeight w:val="98"/>
        </w:trPr>
        <w:tc>
          <w:tcPr>
            <w:tcW w:w="3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4CC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3A79D79A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8A4EA1" w14:paraId="64ABDA5A" w14:textId="77777777" w:rsidTr="00B65084">
        <w:trPr>
          <w:trHeight w:val="2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0970E82F" w:rsidR="00DF5E61" w:rsidRPr="008A4EA1" w:rsidRDefault="00DF5E61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noProof/>
              </w:rPr>
              <w:t>Высшее образование в сфере агрономии, сельского хозяйства, биологических наук или аналогичных отраслей.</w:t>
            </w:r>
            <w:r w:rsidRPr="008A4EA1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8A4EA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8A4EA1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8A4EA1" w14:paraId="4EC86D8F" w14:textId="77777777" w:rsidTr="00B65084">
        <w:trPr>
          <w:trHeight w:val="10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689335F0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8A4EA1" w14:paraId="2845A473" w14:textId="77777777" w:rsidTr="00B65084">
        <w:trPr>
          <w:trHeight w:val="66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8A4EA1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A4EA1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8A4EA1" w14:paraId="3D2D601C" w14:textId="77777777" w:rsidTr="00B65084">
        <w:trPr>
          <w:trHeight w:val="51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8A4EA1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743D5451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землепользования/агрономии;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8A4EA1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)</w:t>
            </w:r>
            <w:r w:rsidRPr="008A4EA1">
              <w:rPr>
                <w:rFonts w:asciiTheme="majorHAnsi" w:hAnsiTheme="majorHAnsi" w:cstheme="majorHAnsi"/>
              </w:rPr>
              <w:t xml:space="preserve"> </w:t>
            </w:r>
            <w:r w:rsidR="00247E77" w:rsidRPr="008A4EA1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8A4EA1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8A4EA1" w14:paraId="32EBFBD3" w14:textId="77777777" w:rsidTr="00B65084">
        <w:trPr>
          <w:trHeight w:val="22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8A4EA1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25C334BD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Профессиональный опыт содействия и развития механизмов межведомственной координации, а также глубокие знания и опыт, специфичные для землепользования</w:t>
            </w:r>
            <w:r w:rsidR="00247E77" w:rsidRPr="008A4EA1">
              <w:rPr>
                <w:rFonts w:asciiTheme="majorHAnsi" w:hAnsiTheme="majorHAnsi" w:cstheme="majorHAnsi"/>
              </w:rPr>
              <w:t xml:space="preserve"> и агрономии</w:t>
            </w:r>
            <w:r w:rsidRPr="008A4EA1">
              <w:rPr>
                <w:rFonts w:asciiTheme="majorHAnsi" w:hAnsiTheme="majorHAnsi" w:cstheme="majorHAnsi"/>
              </w:rPr>
              <w:t xml:space="preserve">;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8A4EA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8A4EA1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(землепользование, агрономия), всего 10 баллов)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8A4EA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8A4EA1" w14:paraId="0BC0FE0B" w14:textId="77777777" w:rsidTr="00B65084">
        <w:trPr>
          <w:trHeight w:val="22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8A4EA1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8A4EA1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8A4EA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8A4EA1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8A4EA1" w14:paraId="63E107D2" w14:textId="77777777" w:rsidTr="00B65084">
        <w:trPr>
          <w:trHeight w:val="22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8A4EA1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8A4EA1" w:rsidRDefault="001C6A86" w:rsidP="00B6508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8A4EA1">
              <w:rPr>
                <w:rFonts w:asciiTheme="majorHAnsi" w:hAnsiTheme="majorHAnsi" w:cstheme="majorHAnsi"/>
              </w:rPr>
              <w:t xml:space="preserve">. </w:t>
            </w:r>
            <w:r w:rsidRPr="008A4EA1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8A4EA1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8A4EA1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8A4EA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8A4EA1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8A4EA1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8A4EA1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8A4EA1" w14:paraId="4A51D6DE" w14:textId="77777777" w:rsidTr="00B65084">
        <w:trPr>
          <w:trHeight w:val="543"/>
        </w:trPr>
        <w:tc>
          <w:tcPr>
            <w:tcW w:w="3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8A4EA1" w:rsidRDefault="00DF5E61" w:rsidP="0019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8A4EA1" w:rsidRDefault="00DF5E61" w:rsidP="0019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8A4EA1" w:rsidRDefault="00DF5E61" w:rsidP="0019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8A4EA1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8A4EA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8A4EA1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8A4EA1" w14:paraId="484B71B4" w14:textId="77777777" w:rsidTr="00B65084">
        <w:trPr>
          <w:trHeight w:val="1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8A4EA1" w:rsidRDefault="00DF5E61" w:rsidP="0019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8A4EA1" w:rsidRDefault="00DF5E61" w:rsidP="0019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A4EA1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4ABAC0AD" w:rsidR="00DF5E61" w:rsidRDefault="00DF5E61" w:rsidP="00192E4D">
      <w:pPr>
        <w:rPr>
          <w:rFonts w:asciiTheme="majorHAnsi" w:hAnsiTheme="majorHAnsi" w:cstheme="majorHAnsi"/>
        </w:rPr>
      </w:pPr>
    </w:p>
    <w:p w14:paraId="797E93A5" w14:textId="07F3293D" w:rsidR="00435E3D" w:rsidRDefault="00435E3D" w:rsidP="00192E4D">
      <w:pPr>
        <w:rPr>
          <w:rFonts w:asciiTheme="majorHAnsi" w:hAnsiTheme="majorHAnsi" w:cstheme="majorHAnsi"/>
        </w:rPr>
      </w:pPr>
    </w:p>
    <w:p w14:paraId="1681CC39" w14:textId="0C846FFE" w:rsidR="00435E3D" w:rsidRDefault="00435E3D" w:rsidP="00192E4D">
      <w:pPr>
        <w:rPr>
          <w:rFonts w:asciiTheme="majorHAnsi" w:hAnsiTheme="majorHAnsi" w:cstheme="majorHAnsi"/>
        </w:rPr>
      </w:pPr>
    </w:p>
    <w:p w14:paraId="4FC9091D" w14:textId="6E6F6CF5" w:rsidR="00435E3D" w:rsidRDefault="00435E3D" w:rsidP="00192E4D">
      <w:pPr>
        <w:rPr>
          <w:rFonts w:asciiTheme="majorHAnsi" w:hAnsiTheme="majorHAnsi" w:cstheme="majorHAnsi"/>
        </w:rPr>
      </w:pPr>
    </w:p>
    <w:p w14:paraId="43B3E186" w14:textId="66DFA885" w:rsidR="00435E3D" w:rsidRDefault="00435E3D" w:rsidP="00192E4D">
      <w:pPr>
        <w:rPr>
          <w:rFonts w:asciiTheme="majorHAnsi" w:hAnsiTheme="majorHAnsi" w:cstheme="majorHAnsi"/>
        </w:rPr>
      </w:pPr>
    </w:p>
    <w:p w14:paraId="2D50E42A" w14:textId="134DDDAD" w:rsidR="00435E3D" w:rsidRDefault="00435E3D" w:rsidP="00192E4D">
      <w:pPr>
        <w:rPr>
          <w:rFonts w:asciiTheme="majorHAnsi" w:hAnsiTheme="majorHAnsi" w:cstheme="majorHAnsi"/>
        </w:rPr>
      </w:pPr>
    </w:p>
    <w:p w14:paraId="2D3DF517" w14:textId="3CF03285" w:rsidR="00435E3D" w:rsidRDefault="00435E3D" w:rsidP="00192E4D">
      <w:pPr>
        <w:rPr>
          <w:rFonts w:asciiTheme="majorHAnsi" w:hAnsiTheme="majorHAnsi" w:cstheme="majorHAnsi"/>
        </w:rPr>
      </w:pPr>
    </w:p>
    <w:p w14:paraId="4726F328" w14:textId="77777777" w:rsidR="00435E3D" w:rsidRDefault="00435E3D" w:rsidP="00435E3D">
      <w:bookmarkStart w:id="0" w:name="_Hlk175834089"/>
    </w:p>
    <w:p w14:paraId="3C4B199A" w14:textId="77777777" w:rsidR="00435E3D" w:rsidRDefault="00435E3D" w:rsidP="00435E3D"/>
    <w:p w14:paraId="2821FB25" w14:textId="77777777" w:rsidR="00435E3D" w:rsidRDefault="00435E3D" w:rsidP="00435E3D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AAC77E2" w14:textId="77777777" w:rsidR="00435E3D" w:rsidRPr="000F482B" w:rsidRDefault="00435E3D" w:rsidP="00435E3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057FF0D9" w14:textId="77777777" w:rsidR="00435E3D" w:rsidRPr="007C1898" w:rsidRDefault="00435E3D" w:rsidP="00435E3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18475CD9" w14:textId="77777777" w:rsidR="00435E3D" w:rsidRPr="000F482B" w:rsidRDefault="00435E3D" w:rsidP="00435E3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04C1A429" w14:textId="77777777" w:rsidR="00435E3D" w:rsidRPr="00030B0F" w:rsidRDefault="00435E3D" w:rsidP="00435E3D">
      <w:pPr>
        <w:pStyle w:val="a4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435E3D" w:rsidRPr="000F482B" w14:paraId="25309055" w14:textId="77777777" w:rsidTr="000D408B">
        <w:trPr>
          <w:trHeight w:val="683"/>
        </w:trPr>
        <w:tc>
          <w:tcPr>
            <w:tcW w:w="3599" w:type="dxa"/>
          </w:tcPr>
          <w:p w14:paraId="13C37CA2" w14:textId="77777777" w:rsidR="00435E3D" w:rsidRPr="000F482B" w:rsidRDefault="00435E3D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4D910E1F" w14:textId="77777777" w:rsidR="00435E3D" w:rsidRPr="00E2127F" w:rsidRDefault="00435E3D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50D788BD" w14:textId="77777777" w:rsidR="00435E3D" w:rsidRPr="000F482B" w:rsidRDefault="00435E3D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77A58D74" w14:textId="77777777" w:rsidR="00435E3D" w:rsidRPr="00E2127F" w:rsidRDefault="00435E3D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435E3D" w:rsidRPr="000F482B" w14:paraId="5887FA3A" w14:textId="77777777" w:rsidTr="000D408B">
        <w:tc>
          <w:tcPr>
            <w:tcW w:w="3599" w:type="dxa"/>
          </w:tcPr>
          <w:p w14:paraId="531DC3A7" w14:textId="77777777" w:rsidR="00435E3D" w:rsidRPr="000F482B" w:rsidRDefault="00435E3D" w:rsidP="00435E3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37E7AF0A" w14:textId="77777777" w:rsidR="00435E3D" w:rsidRPr="009A4B28" w:rsidRDefault="00435E3D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4E32F683" w14:textId="77777777" w:rsidR="00435E3D" w:rsidRPr="009A4B28" w:rsidRDefault="00435E3D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1427DE4D" w14:textId="77777777" w:rsidR="00435E3D" w:rsidRPr="009A4B28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34953919" w14:textId="77777777" w:rsidTr="000D408B">
        <w:tc>
          <w:tcPr>
            <w:tcW w:w="3599" w:type="dxa"/>
          </w:tcPr>
          <w:p w14:paraId="73975D22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0DCC7EE" w14:textId="77777777" w:rsidR="00435E3D" w:rsidRPr="00D907C4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00EEC291" w14:textId="77777777" w:rsidR="00435E3D" w:rsidRPr="009A4B28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62AAE4A1" w14:textId="77777777" w:rsidR="00435E3D" w:rsidRPr="009A4B28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5111D7EB" w14:textId="77777777" w:rsidR="00435E3D" w:rsidRPr="009A4B28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7F567EE7" w14:textId="77777777" w:rsidTr="000D408B">
        <w:tc>
          <w:tcPr>
            <w:tcW w:w="3599" w:type="dxa"/>
          </w:tcPr>
          <w:p w14:paraId="5BBC4F0B" w14:textId="77777777" w:rsidR="00435E3D" w:rsidRPr="002B5D33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62314677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7692B89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8B7D440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3AA5CC3F" w14:textId="77777777" w:rsidTr="000D408B">
        <w:tc>
          <w:tcPr>
            <w:tcW w:w="3599" w:type="dxa"/>
          </w:tcPr>
          <w:p w14:paraId="344F5416" w14:textId="77777777" w:rsidR="00435E3D" w:rsidRPr="00BF7B25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6259A6AF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45C677C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7FAC6B5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468997DF" w14:textId="77777777" w:rsidTr="000D408B">
        <w:tc>
          <w:tcPr>
            <w:tcW w:w="3599" w:type="dxa"/>
          </w:tcPr>
          <w:p w14:paraId="05995319" w14:textId="77777777" w:rsidR="00435E3D" w:rsidRPr="00A25EE5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6615A120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6D3278F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DA1781C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2B9468C2" w14:textId="77777777" w:rsidTr="000D408B">
        <w:tc>
          <w:tcPr>
            <w:tcW w:w="3599" w:type="dxa"/>
          </w:tcPr>
          <w:p w14:paraId="27942DB7" w14:textId="77777777" w:rsidR="00435E3D" w:rsidRPr="00A25EE5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7AAA87F0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2E06CF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FC82085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56E6432D" w14:textId="77777777" w:rsidTr="000D408B">
        <w:tc>
          <w:tcPr>
            <w:tcW w:w="3599" w:type="dxa"/>
          </w:tcPr>
          <w:p w14:paraId="7783972A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0E4B2B69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4CD0613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86F0A2C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166B4796" w14:textId="77777777" w:rsidTr="000D408B">
        <w:tc>
          <w:tcPr>
            <w:tcW w:w="3599" w:type="dxa"/>
          </w:tcPr>
          <w:p w14:paraId="5AAC05AA" w14:textId="77777777" w:rsidR="00435E3D" w:rsidRPr="00A25EE5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14622F51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5BDE0C3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064645E" w14:textId="77777777" w:rsidR="00435E3D" w:rsidRPr="000F482B" w:rsidRDefault="00435E3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CA60C60" w14:textId="77777777" w:rsidR="00435E3D" w:rsidRPr="000F482B" w:rsidRDefault="00435E3D" w:rsidP="00435E3D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79359244" w14:textId="77777777" w:rsidR="00435E3D" w:rsidRPr="00030B0F" w:rsidRDefault="00435E3D" w:rsidP="00435E3D">
      <w:pPr>
        <w:pStyle w:val="a4"/>
        <w:widowControl w:val="0"/>
        <w:numPr>
          <w:ilvl w:val="0"/>
          <w:numId w:val="29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17394147" w14:textId="77777777" w:rsidR="00435E3D" w:rsidRPr="000F482B" w:rsidRDefault="00435E3D" w:rsidP="00435E3D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435E3D" w:rsidRPr="000F482B" w14:paraId="730404E6" w14:textId="77777777" w:rsidTr="000D408B">
        <w:tc>
          <w:tcPr>
            <w:tcW w:w="3675" w:type="dxa"/>
          </w:tcPr>
          <w:p w14:paraId="0A89FCF7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6ABA3DBC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05DF435F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61284078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603E14D5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48B21608" w14:textId="77777777" w:rsidR="00435E3D" w:rsidRPr="000F482B" w:rsidRDefault="00435E3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435E3D" w:rsidRPr="000F482B" w14:paraId="7C28090D" w14:textId="77777777" w:rsidTr="000D408B">
        <w:tc>
          <w:tcPr>
            <w:tcW w:w="3675" w:type="dxa"/>
          </w:tcPr>
          <w:p w14:paraId="7C3CDD25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5FCBC5E" w14:textId="77777777" w:rsidR="00435E3D" w:rsidRPr="007C1898" w:rsidRDefault="00435E3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0BD33998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1552EB8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BEE3304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1197F884" w14:textId="77777777" w:rsidTr="000D408B">
        <w:tc>
          <w:tcPr>
            <w:tcW w:w="3675" w:type="dxa"/>
          </w:tcPr>
          <w:p w14:paraId="26F02771" w14:textId="77777777" w:rsidR="00435E3D" w:rsidRPr="007C1898" w:rsidRDefault="00435E3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6625ED4B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80D4EE1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12030BEC" w14:textId="77777777" w:rsidTr="000D408B">
        <w:tc>
          <w:tcPr>
            <w:tcW w:w="3675" w:type="dxa"/>
          </w:tcPr>
          <w:p w14:paraId="0E258D37" w14:textId="77777777" w:rsidR="00435E3D" w:rsidRPr="007C1898" w:rsidRDefault="00435E3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51A71F5E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36B2F52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1A6F26D0" w14:textId="77777777" w:rsidTr="000D408B">
        <w:tc>
          <w:tcPr>
            <w:tcW w:w="3675" w:type="dxa"/>
          </w:tcPr>
          <w:p w14:paraId="19ED19E1" w14:textId="77777777" w:rsidR="00435E3D" w:rsidRPr="001E0B0F" w:rsidRDefault="00435E3D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3806889B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DB3812A" w14:textId="77777777" w:rsidR="00435E3D" w:rsidRPr="009A4B28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435E3D" w:rsidRPr="000F482B" w14:paraId="39959F1F" w14:textId="77777777" w:rsidTr="000D408B">
        <w:tc>
          <w:tcPr>
            <w:tcW w:w="3675" w:type="dxa"/>
          </w:tcPr>
          <w:p w14:paraId="3530CB76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2BFA35CD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38EEBB56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435E3D" w:rsidRPr="000F482B" w14:paraId="6630B401" w14:textId="77777777" w:rsidTr="000D408B">
        <w:tc>
          <w:tcPr>
            <w:tcW w:w="3675" w:type="dxa"/>
          </w:tcPr>
          <w:p w14:paraId="3C0629AD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53799B47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7B46CCEE" w14:textId="77777777" w:rsidR="00435E3D" w:rsidRPr="000F482B" w:rsidRDefault="00435E3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757679C7" w14:textId="77777777" w:rsidR="00435E3D" w:rsidRPr="000F482B" w:rsidRDefault="00435E3D" w:rsidP="00435E3D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0"/>
    </w:p>
    <w:p w14:paraId="25444565" w14:textId="77777777" w:rsidR="00435E3D" w:rsidRPr="008A4EA1" w:rsidRDefault="00435E3D" w:rsidP="00192E4D">
      <w:pPr>
        <w:rPr>
          <w:rFonts w:asciiTheme="majorHAnsi" w:hAnsiTheme="majorHAnsi" w:cstheme="majorHAnsi"/>
        </w:rPr>
      </w:pPr>
    </w:p>
    <w:sectPr w:rsidR="00435E3D" w:rsidRPr="008A4EA1" w:rsidSect="009C06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74A"/>
    <w:multiLevelType w:val="hybridMultilevel"/>
    <w:tmpl w:val="463C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0F39"/>
    <w:multiLevelType w:val="hybridMultilevel"/>
    <w:tmpl w:val="83B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40570"/>
    <w:multiLevelType w:val="hybridMultilevel"/>
    <w:tmpl w:val="339C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1056"/>
    <w:multiLevelType w:val="hybridMultilevel"/>
    <w:tmpl w:val="86B66B2A"/>
    <w:lvl w:ilvl="0" w:tplc="B680BA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7712A2"/>
    <w:multiLevelType w:val="hybridMultilevel"/>
    <w:tmpl w:val="DD94290A"/>
    <w:lvl w:ilvl="0" w:tplc="87728D80">
      <w:start w:val="25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21"/>
  </w:num>
  <w:num w:numId="2" w16cid:durableId="1317026412">
    <w:abstractNumId w:val="16"/>
  </w:num>
  <w:num w:numId="3" w16cid:durableId="231234084">
    <w:abstractNumId w:val="18"/>
  </w:num>
  <w:num w:numId="4" w16cid:durableId="1263807075">
    <w:abstractNumId w:val="11"/>
  </w:num>
  <w:num w:numId="5" w16cid:durableId="1648778153">
    <w:abstractNumId w:val="4"/>
  </w:num>
  <w:num w:numId="6" w16cid:durableId="586959548">
    <w:abstractNumId w:val="22"/>
  </w:num>
  <w:num w:numId="7" w16cid:durableId="289748478">
    <w:abstractNumId w:val="14"/>
  </w:num>
  <w:num w:numId="8" w16cid:durableId="524368108">
    <w:abstractNumId w:val="7"/>
  </w:num>
  <w:num w:numId="9" w16cid:durableId="1870605983">
    <w:abstractNumId w:val="25"/>
  </w:num>
  <w:num w:numId="10" w16cid:durableId="2107113840">
    <w:abstractNumId w:val="9"/>
  </w:num>
  <w:num w:numId="11" w16cid:durableId="932932004">
    <w:abstractNumId w:val="2"/>
  </w:num>
  <w:num w:numId="12" w16cid:durableId="191307358">
    <w:abstractNumId w:val="24"/>
  </w:num>
  <w:num w:numId="13" w16cid:durableId="583953526">
    <w:abstractNumId w:val="20"/>
  </w:num>
  <w:num w:numId="14" w16cid:durableId="965769996">
    <w:abstractNumId w:val="10"/>
  </w:num>
  <w:num w:numId="15" w16cid:durableId="1682125490">
    <w:abstractNumId w:val="6"/>
  </w:num>
  <w:num w:numId="16" w16cid:durableId="2038847540">
    <w:abstractNumId w:val="3"/>
  </w:num>
  <w:num w:numId="17" w16cid:durableId="619535910">
    <w:abstractNumId w:val="5"/>
  </w:num>
  <w:num w:numId="18" w16cid:durableId="348724711">
    <w:abstractNumId w:val="26"/>
  </w:num>
  <w:num w:numId="19" w16cid:durableId="1306471619">
    <w:abstractNumId w:val="17"/>
  </w:num>
  <w:num w:numId="20" w16cid:durableId="878905691">
    <w:abstractNumId w:val="13"/>
  </w:num>
  <w:num w:numId="21" w16cid:durableId="806900974">
    <w:abstractNumId w:val="9"/>
  </w:num>
  <w:num w:numId="22" w16cid:durableId="562645323">
    <w:abstractNumId w:val="9"/>
  </w:num>
  <w:num w:numId="23" w16cid:durableId="1564289032">
    <w:abstractNumId w:val="1"/>
  </w:num>
  <w:num w:numId="24" w16cid:durableId="1821650388">
    <w:abstractNumId w:val="19"/>
  </w:num>
  <w:num w:numId="25" w16cid:durableId="1071122999">
    <w:abstractNumId w:val="8"/>
  </w:num>
  <w:num w:numId="26" w16cid:durableId="473256111">
    <w:abstractNumId w:val="0"/>
  </w:num>
  <w:num w:numId="27" w16cid:durableId="244149997">
    <w:abstractNumId w:val="23"/>
  </w:num>
  <w:num w:numId="28" w16cid:durableId="269246066">
    <w:abstractNumId w:val="12"/>
  </w:num>
  <w:num w:numId="29" w16cid:durableId="13981288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4A6"/>
    <w:rsid w:val="00015D9C"/>
    <w:rsid w:val="0001733C"/>
    <w:rsid w:val="00017D17"/>
    <w:rsid w:val="00030F3E"/>
    <w:rsid w:val="00040C7B"/>
    <w:rsid w:val="0004585B"/>
    <w:rsid w:val="0004681D"/>
    <w:rsid w:val="00052211"/>
    <w:rsid w:val="0009223B"/>
    <w:rsid w:val="00096CD9"/>
    <w:rsid w:val="000A3D36"/>
    <w:rsid w:val="000B6008"/>
    <w:rsid w:val="000E0964"/>
    <w:rsid w:val="000E42B8"/>
    <w:rsid w:val="000E4721"/>
    <w:rsid w:val="000F67AD"/>
    <w:rsid w:val="00100B29"/>
    <w:rsid w:val="00100B2C"/>
    <w:rsid w:val="001041B0"/>
    <w:rsid w:val="00107120"/>
    <w:rsid w:val="00110824"/>
    <w:rsid w:val="00114FF5"/>
    <w:rsid w:val="001168C8"/>
    <w:rsid w:val="00121E41"/>
    <w:rsid w:val="00124A27"/>
    <w:rsid w:val="00130622"/>
    <w:rsid w:val="00155751"/>
    <w:rsid w:val="0017051B"/>
    <w:rsid w:val="001827FC"/>
    <w:rsid w:val="00183851"/>
    <w:rsid w:val="001870D8"/>
    <w:rsid w:val="00192E4D"/>
    <w:rsid w:val="001A293D"/>
    <w:rsid w:val="001A7B75"/>
    <w:rsid w:val="001B0F92"/>
    <w:rsid w:val="001B3FE8"/>
    <w:rsid w:val="001C3B06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308E9"/>
    <w:rsid w:val="002359C1"/>
    <w:rsid w:val="00235DB3"/>
    <w:rsid w:val="00236891"/>
    <w:rsid w:val="0024194F"/>
    <w:rsid w:val="00246376"/>
    <w:rsid w:val="00247E77"/>
    <w:rsid w:val="00254BF7"/>
    <w:rsid w:val="002551D7"/>
    <w:rsid w:val="00265773"/>
    <w:rsid w:val="002735DA"/>
    <w:rsid w:val="00283271"/>
    <w:rsid w:val="0029163C"/>
    <w:rsid w:val="002C17EF"/>
    <w:rsid w:val="002E0BF5"/>
    <w:rsid w:val="002F14E9"/>
    <w:rsid w:val="002F2450"/>
    <w:rsid w:val="00305CB6"/>
    <w:rsid w:val="00314061"/>
    <w:rsid w:val="00326F37"/>
    <w:rsid w:val="003372D3"/>
    <w:rsid w:val="00340F1E"/>
    <w:rsid w:val="00357B30"/>
    <w:rsid w:val="00370A15"/>
    <w:rsid w:val="003760DD"/>
    <w:rsid w:val="0038167F"/>
    <w:rsid w:val="00391B1C"/>
    <w:rsid w:val="003A0582"/>
    <w:rsid w:val="003B32EE"/>
    <w:rsid w:val="003C456A"/>
    <w:rsid w:val="003D5EE9"/>
    <w:rsid w:val="003E0096"/>
    <w:rsid w:val="003F6B77"/>
    <w:rsid w:val="0040039E"/>
    <w:rsid w:val="00411EAF"/>
    <w:rsid w:val="00417DE6"/>
    <w:rsid w:val="0042019E"/>
    <w:rsid w:val="00423C82"/>
    <w:rsid w:val="004305D6"/>
    <w:rsid w:val="00434AFD"/>
    <w:rsid w:val="00435E3D"/>
    <w:rsid w:val="004510C3"/>
    <w:rsid w:val="004518AF"/>
    <w:rsid w:val="00467CB5"/>
    <w:rsid w:val="0047113C"/>
    <w:rsid w:val="00481343"/>
    <w:rsid w:val="004919DF"/>
    <w:rsid w:val="004943FC"/>
    <w:rsid w:val="004944E7"/>
    <w:rsid w:val="004A3C0D"/>
    <w:rsid w:val="004C1142"/>
    <w:rsid w:val="004C2E30"/>
    <w:rsid w:val="004C6F7C"/>
    <w:rsid w:val="004E0A08"/>
    <w:rsid w:val="004E5702"/>
    <w:rsid w:val="004F1323"/>
    <w:rsid w:val="004F34CA"/>
    <w:rsid w:val="004F45A2"/>
    <w:rsid w:val="004F7A39"/>
    <w:rsid w:val="0051213B"/>
    <w:rsid w:val="00517429"/>
    <w:rsid w:val="0053152C"/>
    <w:rsid w:val="00564B13"/>
    <w:rsid w:val="0057050E"/>
    <w:rsid w:val="005724D0"/>
    <w:rsid w:val="00574F5F"/>
    <w:rsid w:val="00592EC2"/>
    <w:rsid w:val="005A6481"/>
    <w:rsid w:val="005A71C6"/>
    <w:rsid w:val="005C3FDF"/>
    <w:rsid w:val="005D0353"/>
    <w:rsid w:val="005F5C4F"/>
    <w:rsid w:val="005F6631"/>
    <w:rsid w:val="00600B46"/>
    <w:rsid w:val="00602B4C"/>
    <w:rsid w:val="0060724A"/>
    <w:rsid w:val="00613882"/>
    <w:rsid w:val="006203A0"/>
    <w:rsid w:val="00634C44"/>
    <w:rsid w:val="006358A1"/>
    <w:rsid w:val="00637147"/>
    <w:rsid w:val="0064196C"/>
    <w:rsid w:val="006610E4"/>
    <w:rsid w:val="00662AAC"/>
    <w:rsid w:val="00676BF2"/>
    <w:rsid w:val="00685013"/>
    <w:rsid w:val="0069302E"/>
    <w:rsid w:val="006A6A3C"/>
    <w:rsid w:val="006B4701"/>
    <w:rsid w:val="006C479D"/>
    <w:rsid w:val="006E0984"/>
    <w:rsid w:val="006E68C3"/>
    <w:rsid w:val="006E6A71"/>
    <w:rsid w:val="006F67AA"/>
    <w:rsid w:val="007030BF"/>
    <w:rsid w:val="00721C76"/>
    <w:rsid w:val="00732767"/>
    <w:rsid w:val="007401AD"/>
    <w:rsid w:val="00740FA3"/>
    <w:rsid w:val="007415F5"/>
    <w:rsid w:val="00741A19"/>
    <w:rsid w:val="00750ABE"/>
    <w:rsid w:val="007674B4"/>
    <w:rsid w:val="00784BD8"/>
    <w:rsid w:val="00795CAD"/>
    <w:rsid w:val="007B22DA"/>
    <w:rsid w:val="007C7109"/>
    <w:rsid w:val="007E1123"/>
    <w:rsid w:val="007F275A"/>
    <w:rsid w:val="007F5E67"/>
    <w:rsid w:val="00812FED"/>
    <w:rsid w:val="00825952"/>
    <w:rsid w:val="00830C82"/>
    <w:rsid w:val="008874A7"/>
    <w:rsid w:val="00892655"/>
    <w:rsid w:val="008961F0"/>
    <w:rsid w:val="008A31F1"/>
    <w:rsid w:val="008A4EA1"/>
    <w:rsid w:val="008A7C4E"/>
    <w:rsid w:val="008B7616"/>
    <w:rsid w:val="008D02FA"/>
    <w:rsid w:val="008D666D"/>
    <w:rsid w:val="008E3531"/>
    <w:rsid w:val="008E3E47"/>
    <w:rsid w:val="008F4AD0"/>
    <w:rsid w:val="008F5C2D"/>
    <w:rsid w:val="009047C2"/>
    <w:rsid w:val="00912935"/>
    <w:rsid w:val="00916307"/>
    <w:rsid w:val="00924E55"/>
    <w:rsid w:val="00925C86"/>
    <w:rsid w:val="0095450E"/>
    <w:rsid w:val="009669F0"/>
    <w:rsid w:val="0097671A"/>
    <w:rsid w:val="00983D4D"/>
    <w:rsid w:val="00990BF6"/>
    <w:rsid w:val="0099706B"/>
    <w:rsid w:val="009A5078"/>
    <w:rsid w:val="009A64B7"/>
    <w:rsid w:val="009B1AE0"/>
    <w:rsid w:val="009B6959"/>
    <w:rsid w:val="009B7B65"/>
    <w:rsid w:val="009C0605"/>
    <w:rsid w:val="009D126C"/>
    <w:rsid w:val="009D1895"/>
    <w:rsid w:val="009F21D0"/>
    <w:rsid w:val="00A06DB2"/>
    <w:rsid w:val="00A36D77"/>
    <w:rsid w:val="00A634ED"/>
    <w:rsid w:val="00A636FE"/>
    <w:rsid w:val="00A7223A"/>
    <w:rsid w:val="00A80DDD"/>
    <w:rsid w:val="00A8644B"/>
    <w:rsid w:val="00AA6009"/>
    <w:rsid w:val="00AB4AB6"/>
    <w:rsid w:val="00AB7D3F"/>
    <w:rsid w:val="00AC0BEF"/>
    <w:rsid w:val="00AC75F7"/>
    <w:rsid w:val="00AD4A3D"/>
    <w:rsid w:val="00AF2F89"/>
    <w:rsid w:val="00AF5386"/>
    <w:rsid w:val="00B12053"/>
    <w:rsid w:val="00B17DD7"/>
    <w:rsid w:val="00B20324"/>
    <w:rsid w:val="00B35D0E"/>
    <w:rsid w:val="00B36147"/>
    <w:rsid w:val="00B401DE"/>
    <w:rsid w:val="00B45166"/>
    <w:rsid w:val="00B53D4E"/>
    <w:rsid w:val="00B61955"/>
    <w:rsid w:val="00B65084"/>
    <w:rsid w:val="00B80C5F"/>
    <w:rsid w:val="00B81AB0"/>
    <w:rsid w:val="00B83572"/>
    <w:rsid w:val="00B92F53"/>
    <w:rsid w:val="00BA0579"/>
    <w:rsid w:val="00BB2708"/>
    <w:rsid w:val="00BB69E8"/>
    <w:rsid w:val="00BB7DDA"/>
    <w:rsid w:val="00BC7046"/>
    <w:rsid w:val="00BD2F99"/>
    <w:rsid w:val="00BD5667"/>
    <w:rsid w:val="00BE1DDA"/>
    <w:rsid w:val="00BE1E41"/>
    <w:rsid w:val="00BE68F3"/>
    <w:rsid w:val="00BF20EB"/>
    <w:rsid w:val="00C03913"/>
    <w:rsid w:val="00C051FC"/>
    <w:rsid w:val="00C13C39"/>
    <w:rsid w:val="00C17592"/>
    <w:rsid w:val="00C3401F"/>
    <w:rsid w:val="00C42A13"/>
    <w:rsid w:val="00C507D2"/>
    <w:rsid w:val="00C535F8"/>
    <w:rsid w:val="00C571F5"/>
    <w:rsid w:val="00C70F2E"/>
    <w:rsid w:val="00C870AA"/>
    <w:rsid w:val="00C9098A"/>
    <w:rsid w:val="00C93B87"/>
    <w:rsid w:val="00CB4653"/>
    <w:rsid w:val="00CB629F"/>
    <w:rsid w:val="00CF1062"/>
    <w:rsid w:val="00D038DF"/>
    <w:rsid w:val="00D03B9D"/>
    <w:rsid w:val="00D11503"/>
    <w:rsid w:val="00D252CA"/>
    <w:rsid w:val="00D27635"/>
    <w:rsid w:val="00D27AB1"/>
    <w:rsid w:val="00D304F4"/>
    <w:rsid w:val="00D32F97"/>
    <w:rsid w:val="00D424DB"/>
    <w:rsid w:val="00D52777"/>
    <w:rsid w:val="00D52B95"/>
    <w:rsid w:val="00D53643"/>
    <w:rsid w:val="00D61781"/>
    <w:rsid w:val="00D76D9B"/>
    <w:rsid w:val="00D77072"/>
    <w:rsid w:val="00D8085E"/>
    <w:rsid w:val="00DA541A"/>
    <w:rsid w:val="00DB07AA"/>
    <w:rsid w:val="00DB2865"/>
    <w:rsid w:val="00DC397E"/>
    <w:rsid w:val="00DC7134"/>
    <w:rsid w:val="00DD014A"/>
    <w:rsid w:val="00DD3E08"/>
    <w:rsid w:val="00DD507A"/>
    <w:rsid w:val="00DE308C"/>
    <w:rsid w:val="00DE7896"/>
    <w:rsid w:val="00DF5E61"/>
    <w:rsid w:val="00DF7AF5"/>
    <w:rsid w:val="00E0358B"/>
    <w:rsid w:val="00E13559"/>
    <w:rsid w:val="00E221BA"/>
    <w:rsid w:val="00E23215"/>
    <w:rsid w:val="00E2427E"/>
    <w:rsid w:val="00E44E82"/>
    <w:rsid w:val="00E5025F"/>
    <w:rsid w:val="00E50ACD"/>
    <w:rsid w:val="00E568B9"/>
    <w:rsid w:val="00E61FB1"/>
    <w:rsid w:val="00E74900"/>
    <w:rsid w:val="00E74C8B"/>
    <w:rsid w:val="00E8248C"/>
    <w:rsid w:val="00E928A2"/>
    <w:rsid w:val="00E94C72"/>
    <w:rsid w:val="00EA02F3"/>
    <w:rsid w:val="00EB3115"/>
    <w:rsid w:val="00EB36DA"/>
    <w:rsid w:val="00EC2FC5"/>
    <w:rsid w:val="00ED77EF"/>
    <w:rsid w:val="00EE094B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A9E"/>
    <w:rsid w:val="00F3650B"/>
    <w:rsid w:val="00F42F55"/>
    <w:rsid w:val="00F4315B"/>
    <w:rsid w:val="00F5275D"/>
    <w:rsid w:val="00F62242"/>
    <w:rsid w:val="00F72CF4"/>
    <w:rsid w:val="00FA0E96"/>
    <w:rsid w:val="00FA1C59"/>
    <w:rsid w:val="00FB4C42"/>
    <w:rsid w:val="00FC11D0"/>
    <w:rsid w:val="00FC695F"/>
    <w:rsid w:val="00FE6C2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157</cp:revision>
  <cp:lastPrinted>2018-04-09T08:57:00Z</cp:lastPrinted>
  <dcterms:created xsi:type="dcterms:W3CDTF">2017-01-23T06:39:00Z</dcterms:created>
  <dcterms:modified xsi:type="dcterms:W3CDTF">2024-08-29T09:33:00Z</dcterms:modified>
</cp:coreProperties>
</file>